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bidi w:val="0"/>
        <w:jc w:val="both"/>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附件1：</w:t>
      </w:r>
    </w:p>
    <w:p>
      <w:pPr>
        <w:bidi w:val="0"/>
        <w:jc w:val="both"/>
        <w:rPr>
          <w:rFonts w:hint="eastAsia" w:ascii="黑体" w:hAnsi="黑体" w:eastAsia="黑体" w:cs="黑体"/>
          <w:sz w:val="32"/>
          <w:szCs w:val="32"/>
          <w:lang w:val="en-US" w:eastAsia="zh-CN"/>
        </w:rPr>
      </w:pPr>
    </w:p>
    <w:tbl>
      <w:tblPr>
        <w:tblStyle w:val="4"/>
        <w:tblW w:w="9280"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475"/>
        <w:gridCol w:w="480"/>
        <w:gridCol w:w="855"/>
        <w:gridCol w:w="2835"/>
        <w:gridCol w:w="810"/>
        <w:gridCol w:w="1380"/>
        <w:gridCol w:w="1545"/>
        <w:gridCol w:w="90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50" w:hRule="atLeast"/>
        </w:trPr>
        <w:tc>
          <w:tcPr>
            <w:tcW w:w="9280" w:type="dxa"/>
            <w:gridSpan w:val="8"/>
            <w:tcBorders>
              <w:top w:val="nil"/>
              <w:left w:val="nil"/>
              <w:bottom w:val="single" w:color="000000" w:sz="4" w:space="0"/>
              <w:right w:val="nil"/>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600" w:lineRule="exact"/>
              <w:jc w:val="center"/>
              <w:textAlignment w:val="center"/>
              <w:rPr>
                <w:rFonts w:hint="eastAsia" w:ascii="方正小标宋_GBK" w:hAnsi="方正小标宋_GBK" w:eastAsia="方正小标宋_GBK" w:cs="方正小标宋_GBK"/>
                <w:b/>
                <w:bCs/>
                <w:i w:val="0"/>
                <w:iCs w:val="0"/>
                <w:color w:val="000000"/>
                <w:kern w:val="0"/>
                <w:sz w:val="44"/>
                <w:szCs w:val="44"/>
                <w:u w:val="none"/>
                <w:lang w:val="en-US" w:eastAsia="zh-CN" w:bidi="ar"/>
              </w:rPr>
            </w:pPr>
            <w:r>
              <w:rPr>
                <w:rFonts w:hint="eastAsia" w:ascii="方正小标宋_GBK" w:hAnsi="方正小标宋_GBK" w:eastAsia="方正小标宋_GBK" w:cs="方正小标宋_GBK"/>
                <w:b/>
                <w:bCs/>
                <w:i w:val="0"/>
                <w:iCs w:val="0"/>
                <w:color w:val="000000"/>
                <w:kern w:val="0"/>
                <w:sz w:val="44"/>
                <w:szCs w:val="44"/>
                <w:u w:val="none"/>
                <w:lang w:val="en-US" w:eastAsia="zh-CN" w:bidi="ar"/>
              </w:rPr>
              <w:t>全省党校（行政学院）系统拟获第十五届科研优秀成果奖成果名单</w:t>
            </w:r>
            <w:bookmarkStart w:id="0" w:name="_GoBack"/>
            <w:bookmarkEnd w:id="0"/>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14" w:hRule="atLeast"/>
        </w:trPr>
        <w:tc>
          <w:tcPr>
            <w:tcW w:w="4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类</w:t>
            </w:r>
          </w:p>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别</w:t>
            </w:r>
          </w:p>
        </w:tc>
        <w:tc>
          <w:tcPr>
            <w:tcW w:w="4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序号</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单位</w:t>
            </w:r>
          </w:p>
        </w:tc>
        <w:tc>
          <w:tcPr>
            <w:tcW w:w="28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成果名称</w:t>
            </w:r>
          </w:p>
        </w:tc>
        <w:tc>
          <w:tcPr>
            <w:tcW w:w="8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成果形式</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作者</w:t>
            </w:r>
          </w:p>
        </w:tc>
        <w:tc>
          <w:tcPr>
            <w:tcW w:w="15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出版单位或报刊名称</w:t>
            </w:r>
          </w:p>
        </w:tc>
        <w:tc>
          <w:tcPr>
            <w:tcW w:w="9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lang w:val="en-US" w:eastAsia="zh-CN"/>
              </w:rPr>
            </w:pPr>
            <w:r>
              <w:rPr>
                <w:rFonts w:hint="eastAsia" w:ascii="宋体" w:hAnsi="宋体" w:eastAsia="宋体" w:cs="宋体"/>
                <w:i w:val="0"/>
                <w:iCs w:val="0"/>
                <w:color w:val="000000"/>
                <w:sz w:val="22"/>
                <w:szCs w:val="22"/>
                <w:u w:val="none"/>
                <w:lang w:val="en-US" w:eastAsia="zh-CN"/>
              </w:rPr>
              <w:t>拟获奖等次</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14" w:hRule="atLeast"/>
        </w:trPr>
        <w:tc>
          <w:tcPr>
            <w:tcW w:w="475" w:type="dxa"/>
            <w:vMerge w:val="restart"/>
            <w:tcBorders>
              <w:top w:val="single" w:color="000000" w:sz="4" w:space="0"/>
              <w:left w:val="single" w:color="000000" w:sz="4" w:space="0"/>
              <w:bottom w:val="single" w:color="000000" w:sz="4" w:space="0"/>
              <w:right w:val="single" w:color="000000" w:sz="4" w:space="0"/>
            </w:tcBorders>
            <w:shd w:val="clear" w:color="auto" w:fill="auto"/>
            <w:noWrap/>
            <w:textDirection w:val="tbRlV"/>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学术类成果</w:t>
            </w:r>
          </w:p>
        </w:tc>
        <w:tc>
          <w:tcPr>
            <w:tcW w:w="4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F79646" w:themeColor="accent6"/>
                <w:sz w:val="21"/>
                <w:szCs w:val="21"/>
                <w:u w:val="none"/>
                <w14:textFill>
                  <w14:solidFill>
                    <w14:schemeClr w14:val="accent6"/>
                  </w14:solidFill>
                </w14:textFill>
              </w:rPr>
            </w:pPr>
            <w:r>
              <w:rPr>
                <w:rFonts w:hint="eastAsia" w:ascii="宋体" w:hAnsi="宋体" w:eastAsia="宋体" w:cs="宋体"/>
                <w:i w:val="0"/>
                <w:iCs w:val="0"/>
                <w:color w:val="auto"/>
                <w:kern w:val="0"/>
                <w:sz w:val="21"/>
                <w:szCs w:val="21"/>
                <w:u w:val="none"/>
                <w:lang w:val="en-US" w:eastAsia="zh-CN" w:bidi="ar"/>
              </w:rPr>
              <w:t>1</w:t>
            </w:r>
            <w:r>
              <w:rPr>
                <w:rFonts w:hint="eastAsia" w:ascii="宋体" w:hAnsi="宋体" w:eastAsia="宋体" w:cs="宋体"/>
                <w:i w:val="0"/>
                <w:iCs w:val="0"/>
                <w:color w:val="F79646" w:themeColor="accent6"/>
                <w:kern w:val="0"/>
                <w:sz w:val="21"/>
                <w:szCs w:val="21"/>
                <w:u w:val="none"/>
                <w:lang w:val="en-US" w:eastAsia="zh-CN" w:bidi="ar"/>
                <w14:textFill>
                  <w14:solidFill>
                    <w14:schemeClr w14:val="accent6"/>
                  </w14:solidFill>
                </w14:textFill>
              </w:rPr>
              <w:t xml:space="preserve"> </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F79646" w:themeColor="accent6"/>
                <w:sz w:val="21"/>
                <w:szCs w:val="21"/>
                <w:u w:val="none"/>
                <w14:textFill>
                  <w14:solidFill>
                    <w14:schemeClr w14:val="accent6"/>
                  </w14:solidFill>
                </w14:textFill>
              </w:rPr>
            </w:pPr>
            <w:r>
              <w:rPr>
                <w:rFonts w:hint="eastAsia" w:ascii="宋体" w:hAnsi="宋体" w:eastAsia="宋体" w:cs="宋体"/>
                <w:i w:val="0"/>
                <w:iCs w:val="0"/>
                <w:color w:val="000000"/>
                <w:kern w:val="0"/>
                <w:sz w:val="21"/>
                <w:szCs w:val="21"/>
                <w:u w:val="none"/>
                <w:lang w:val="en-US" w:eastAsia="zh-CN" w:bidi="ar"/>
              </w:rPr>
              <w:t>宜宾市委党校</w:t>
            </w:r>
            <w:r>
              <w:rPr>
                <w:rFonts w:hint="eastAsia" w:ascii="宋体" w:hAnsi="宋体" w:eastAsia="宋体" w:cs="宋体"/>
                <w:i w:val="0"/>
                <w:iCs w:val="0"/>
                <w:color w:val="F79646" w:themeColor="accent6"/>
                <w:kern w:val="0"/>
                <w:sz w:val="21"/>
                <w:szCs w:val="21"/>
                <w:u w:val="none"/>
                <w:lang w:val="en-US" w:eastAsia="zh-CN" w:bidi="ar"/>
                <w14:textFill>
                  <w14:solidFill>
                    <w14:schemeClr w14:val="accent6"/>
                  </w14:solidFill>
                </w14:textFill>
              </w:rPr>
              <w:t xml:space="preserve"> </w:t>
            </w:r>
          </w:p>
        </w:tc>
        <w:tc>
          <w:tcPr>
            <w:tcW w:w="28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F79646" w:themeColor="accent6"/>
                <w:sz w:val="21"/>
                <w:szCs w:val="21"/>
                <w:u w:val="none"/>
                <w14:textFill>
                  <w14:solidFill>
                    <w14:schemeClr w14:val="accent6"/>
                  </w14:solidFill>
                </w14:textFill>
              </w:rPr>
            </w:pPr>
            <w:r>
              <w:rPr>
                <w:rFonts w:hint="eastAsia" w:ascii="宋体" w:hAnsi="宋体" w:eastAsia="宋体" w:cs="宋体"/>
                <w:i w:val="0"/>
                <w:iCs w:val="0"/>
                <w:color w:val="000000"/>
                <w:kern w:val="0"/>
                <w:sz w:val="21"/>
                <w:szCs w:val="21"/>
                <w:u w:val="none"/>
                <w:lang w:val="en-US" w:eastAsia="zh-CN" w:bidi="ar"/>
              </w:rPr>
              <w:t>乡村振兴视域下驻村第一书记角色重构与作用发挥机制研究</w:t>
            </w:r>
          </w:p>
        </w:tc>
        <w:tc>
          <w:tcPr>
            <w:tcW w:w="8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F79646" w:themeColor="accent6"/>
                <w:sz w:val="21"/>
                <w:szCs w:val="21"/>
                <w:u w:val="none"/>
                <w14:textFill>
                  <w14:solidFill>
                    <w14:schemeClr w14:val="accent6"/>
                  </w14:solidFill>
                </w14:textFill>
              </w:rPr>
            </w:pPr>
            <w:r>
              <w:rPr>
                <w:rFonts w:hint="eastAsia" w:ascii="宋体" w:hAnsi="宋体" w:eastAsia="宋体" w:cs="宋体"/>
                <w:i w:val="0"/>
                <w:iCs w:val="0"/>
                <w:color w:val="000000"/>
                <w:kern w:val="0"/>
                <w:sz w:val="21"/>
                <w:szCs w:val="21"/>
                <w:u w:val="none"/>
                <w:lang w:val="en-US" w:eastAsia="zh-CN" w:bidi="ar"/>
              </w:rPr>
              <w:t>学术专著</w:t>
            </w:r>
            <w:r>
              <w:rPr>
                <w:rFonts w:hint="eastAsia" w:ascii="宋体" w:hAnsi="宋体" w:eastAsia="宋体" w:cs="宋体"/>
                <w:i w:val="0"/>
                <w:iCs w:val="0"/>
                <w:color w:val="F79646" w:themeColor="accent6"/>
                <w:kern w:val="0"/>
                <w:sz w:val="21"/>
                <w:szCs w:val="21"/>
                <w:u w:val="none"/>
                <w:lang w:val="en-US" w:eastAsia="zh-CN" w:bidi="ar"/>
                <w14:textFill>
                  <w14:solidFill>
                    <w14:schemeClr w14:val="accent6"/>
                  </w14:solidFill>
                </w14:textFill>
              </w:rPr>
              <w:t xml:space="preserve"> </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F79646" w:themeColor="accent6"/>
                <w:sz w:val="21"/>
                <w:szCs w:val="21"/>
                <w:u w:val="none"/>
                <w14:textFill>
                  <w14:solidFill>
                    <w14:schemeClr w14:val="accent6"/>
                  </w14:solidFill>
                </w14:textFill>
              </w:rPr>
            </w:pPr>
            <w:r>
              <w:rPr>
                <w:rFonts w:hint="eastAsia" w:ascii="宋体" w:hAnsi="宋体" w:eastAsia="宋体" w:cs="宋体"/>
                <w:i w:val="0"/>
                <w:iCs w:val="0"/>
                <w:color w:val="000000"/>
                <w:kern w:val="0"/>
                <w:sz w:val="21"/>
                <w:szCs w:val="21"/>
                <w:u w:val="none"/>
                <w:lang w:val="en-US" w:eastAsia="zh-CN" w:bidi="ar"/>
              </w:rPr>
              <w:t>窦清华、李杰、黄雨，刘志慧、刘姝</w:t>
            </w:r>
          </w:p>
        </w:tc>
        <w:tc>
          <w:tcPr>
            <w:tcW w:w="15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F79646" w:themeColor="accent6"/>
                <w:sz w:val="21"/>
                <w:szCs w:val="21"/>
                <w:u w:val="none"/>
                <w14:textFill>
                  <w14:solidFill>
                    <w14:schemeClr w14:val="accent6"/>
                  </w14:solidFill>
                </w14:textFill>
              </w:rPr>
            </w:pPr>
            <w:r>
              <w:rPr>
                <w:rFonts w:hint="eastAsia" w:ascii="宋体" w:hAnsi="宋体" w:eastAsia="宋体" w:cs="宋体"/>
                <w:i w:val="0"/>
                <w:iCs w:val="0"/>
                <w:color w:val="000000"/>
                <w:kern w:val="0"/>
                <w:sz w:val="21"/>
                <w:szCs w:val="21"/>
                <w:u w:val="none"/>
                <w:lang w:val="en-US" w:eastAsia="zh-CN" w:bidi="ar"/>
              </w:rPr>
              <w:t>四川人民出版社</w:t>
            </w:r>
            <w:r>
              <w:rPr>
                <w:rFonts w:hint="eastAsia" w:ascii="宋体" w:hAnsi="宋体" w:eastAsia="宋体" w:cs="宋体"/>
                <w:i w:val="0"/>
                <w:iCs w:val="0"/>
                <w:color w:val="F79646" w:themeColor="accent6"/>
                <w:kern w:val="0"/>
                <w:sz w:val="21"/>
                <w:szCs w:val="21"/>
                <w:u w:val="none"/>
                <w:lang w:val="en-US" w:eastAsia="zh-CN" w:bidi="ar"/>
                <w14:textFill>
                  <w14:solidFill>
                    <w14:schemeClr w14:val="accent6"/>
                  </w14:solidFill>
                </w14:textFill>
              </w:rPr>
              <w:t xml:space="preserve"> </w:t>
            </w:r>
          </w:p>
        </w:tc>
        <w:tc>
          <w:tcPr>
            <w:tcW w:w="9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F79646" w:themeColor="accent6"/>
                <w:sz w:val="21"/>
                <w:szCs w:val="21"/>
                <w:u w:val="none"/>
                <w14:textFill>
                  <w14:solidFill>
                    <w14:schemeClr w14:val="accent6"/>
                  </w14:solidFill>
                </w14:textFill>
              </w:rPr>
            </w:pPr>
            <w:r>
              <w:rPr>
                <w:rFonts w:hint="eastAsia" w:ascii="宋体" w:hAnsi="宋体" w:eastAsia="宋体" w:cs="宋体"/>
                <w:i w:val="0"/>
                <w:iCs w:val="0"/>
                <w:color w:val="000000"/>
                <w:kern w:val="0"/>
                <w:sz w:val="21"/>
                <w:szCs w:val="21"/>
                <w:u w:val="none"/>
                <w:lang w:val="en-US" w:eastAsia="zh-CN" w:bidi="ar"/>
              </w:rPr>
              <w:t>一等奖</w:t>
            </w:r>
            <w:r>
              <w:rPr>
                <w:rFonts w:hint="eastAsia" w:ascii="宋体" w:hAnsi="宋体" w:eastAsia="宋体" w:cs="宋体"/>
                <w:i w:val="0"/>
                <w:iCs w:val="0"/>
                <w:color w:val="F79646" w:themeColor="accent6"/>
                <w:kern w:val="0"/>
                <w:sz w:val="21"/>
                <w:szCs w:val="21"/>
                <w:u w:val="none"/>
                <w:lang w:val="en-US" w:eastAsia="zh-CN" w:bidi="ar"/>
                <w14:textFill>
                  <w14:solidFill>
                    <w14:schemeClr w14:val="accent6"/>
                  </w14:solidFill>
                </w14:textFill>
              </w:rPr>
              <w:t xml:space="preserve">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77" w:hRule="atLeast"/>
        </w:trPr>
        <w:tc>
          <w:tcPr>
            <w:tcW w:w="475" w:type="dxa"/>
            <w:vMerge w:val="continue"/>
            <w:tcBorders>
              <w:top w:val="single" w:color="000000" w:sz="4" w:space="0"/>
              <w:left w:val="single" w:color="000000" w:sz="4" w:space="0"/>
              <w:bottom w:val="single" w:color="000000" w:sz="4" w:space="0"/>
              <w:right w:val="single" w:color="000000" w:sz="4" w:space="0"/>
            </w:tcBorders>
            <w:shd w:val="clear" w:color="auto" w:fill="auto"/>
            <w:noWrap/>
            <w:textDirection w:val="tbRlV"/>
            <w:vAlign w:val="center"/>
          </w:tcPr>
          <w:p>
            <w:pPr>
              <w:rPr>
                <w:rFonts w:hint="eastAsia" w:ascii="宋体" w:hAnsi="宋体" w:eastAsia="宋体" w:cs="宋体"/>
                <w:i w:val="0"/>
                <w:iCs w:val="0"/>
                <w:color w:val="000000"/>
                <w:sz w:val="22"/>
                <w:szCs w:val="22"/>
                <w:u w:val="none"/>
              </w:rPr>
            </w:pPr>
          </w:p>
        </w:tc>
        <w:tc>
          <w:tcPr>
            <w:tcW w:w="4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成都市委党校</w:t>
            </w:r>
          </w:p>
        </w:tc>
        <w:tc>
          <w:tcPr>
            <w:tcW w:w="28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天府蓉光——成都建设世界文化名城研究</w:t>
            </w:r>
          </w:p>
        </w:tc>
        <w:tc>
          <w:tcPr>
            <w:tcW w:w="8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学术专著</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方贤洁、祁祁、杨恋、罗颖、杨品雪</w:t>
            </w:r>
          </w:p>
        </w:tc>
        <w:tc>
          <w:tcPr>
            <w:tcW w:w="15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国家行政学院出版社</w:t>
            </w:r>
          </w:p>
        </w:tc>
        <w:tc>
          <w:tcPr>
            <w:tcW w:w="9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一等奖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17" w:hRule="atLeast"/>
        </w:trPr>
        <w:tc>
          <w:tcPr>
            <w:tcW w:w="475" w:type="dxa"/>
            <w:vMerge w:val="continue"/>
            <w:tcBorders>
              <w:top w:val="single" w:color="000000" w:sz="4" w:space="0"/>
              <w:left w:val="single" w:color="000000" w:sz="4" w:space="0"/>
              <w:bottom w:val="single" w:color="000000" w:sz="4" w:space="0"/>
              <w:right w:val="single" w:color="000000" w:sz="4" w:space="0"/>
            </w:tcBorders>
            <w:shd w:val="clear" w:color="auto" w:fill="auto"/>
            <w:noWrap/>
            <w:textDirection w:val="tbRlV"/>
            <w:vAlign w:val="center"/>
          </w:tcPr>
          <w:p>
            <w:pPr>
              <w:rPr>
                <w:rFonts w:hint="eastAsia" w:ascii="宋体" w:hAnsi="宋体" w:eastAsia="宋体" w:cs="宋体"/>
                <w:i w:val="0"/>
                <w:iCs w:val="0"/>
                <w:color w:val="000000"/>
                <w:sz w:val="22"/>
                <w:szCs w:val="22"/>
                <w:u w:val="none"/>
              </w:rPr>
            </w:pPr>
          </w:p>
        </w:tc>
        <w:tc>
          <w:tcPr>
            <w:tcW w:w="4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省直机关党校</w:t>
            </w:r>
          </w:p>
        </w:tc>
        <w:tc>
          <w:tcPr>
            <w:tcW w:w="28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新时代农民工公民道德意识培育</w:t>
            </w:r>
          </w:p>
        </w:tc>
        <w:tc>
          <w:tcPr>
            <w:tcW w:w="8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学术专著</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吴俊蓉</w:t>
            </w:r>
          </w:p>
        </w:tc>
        <w:tc>
          <w:tcPr>
            <w:tcW w:w="15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西南财经大学出版社</w:t>
            </w:r>
          </w:p>
        </w:tc>
        <w:tc>
          <w:tcPr>
            <w:tcW w:w="9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一等奖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14" w:hRule="atLeast"/>
        </w:trPr>
        <w:tc>
          <w:tcPr>
            <w:tcW w:w="475" w:type="dxa"/>
            <w:vMerge w:val="continue"/>
            <w:tcBorders>
              <w:top w:val="single" w:color="000000" w:sz="4" w:space="0"/>
              <w:left w:val="single" w:color="000000" w:sz="4" w:space="0"/>
              <w:bottom w:val="single" w:color="000000" w:sz="4" w:space="0"/>
              <w:right w:val="single" w:color="000000" w:sz="4" w:space="0"/>
            </w:tcBorders>
            <w:shd w:val="clear" w:color="auto" w:fill="auto"/>
            <w:noWrap/>
            <w:textDirection w:val="tbRlV"/>
            <w:vAlign w:val="center"/>
          </w:tcPr>
          <w:p>
            <w:pPr>
              <w:rPr>
                <w:rFonts w:hint="eastAsia" w:ascii="宋体" w:hAnsi="宋体" w:eastAsia="宋体" w:cs="宋体"/>
                <w:i w:val="0"/>
                <w:iCs w:val="0"/>
                <w:color w:val="000000"/>
                <w:sz w:val="22"/>
                <w:szCs w:val="22"/>
                <w:u w:val="none"/>
              </w:rPr>
            </w:pPr>
          </w:p>
        </w:tc>
        <w:tc>
          <w:tcPr>
            <w:tcW w:w="4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4</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泸州市委党校</w:t>
            </w:r>
          </w:p>
        </w:tc>
        <w:tc>
          <w:tcPr>
            <w:tcW w:w="28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中国工农红军川南游击纵队简史</w:t>
            </w:r>
          </w:p>
        </w:tc>
        <w:tc>
          <w:tcPr>
            <w:tcW w:w="8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学术著作</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张驰、官燕、龙雪梅</w:t>
            </w:r>
          </w:p>
        </w:tc>
        <w:tc>
          <w:tcPr>
            <w:tcW w:w="15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四川人民出版社</w:t>
            </w:r>
          </w:p>
        </w:tc>
        <w:tc>
          <w:tcPr>
            <w:tcW w:w="9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一等奖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97" w:hRule="atLeast"/>
        </w:trPr>
        <w:tc>
          <w:tcPr>
            <w:tcW w:w="475" w:type="dxa"/>
            <w:vMerge w:val="continue"/>
            <w:tcBorders>
              <w:top w:val="single" w:color="000000" w:sz="4" w:space="0"/>
              <w:left w:val="single" w:color="000000" w:sz="4" w:space="0"/>
              <w:bottom w:val="single" w:color="000000" w:sz="4" w:space="0"/>
              <w:right w:val="single" w:color="000000" w:sz="4" w:space="0"/>
            </w:tcBorders>
            <w:shd w:val="clear" w:color="auto" w:fill="auto"/>
            <w:noWrap/>
            <w:textDirection w:val="tbRlV"/>
            <w:vAlign w:val="center"/>
          </w:tcPr>
          <w:p>
            <w:pPr>
              <w:rPr>
                <w:rFonts w:hint="eastAsia" w:ascii="宋体" w:hAnsi="宋体" w:eastAsia="宋体" w:cs="宋体"/>
                <w:i w:val="0"/>
                <w:iCs w:val="0"/>
                <w:color w:val="000000"/>
                <w:sz w:val="22"/>
                <w:szCs w:val="22"/>
                <w:u w:val="none"/>
              </w:rPr>
            </w:pPr>
          </w:p>
        </w:tc>
        <w:tc>
          <w:tcPr>
            <w:tcW w:w="4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5</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成都市青白江区委党校</w:t>
            </w:r>
          </w:p>
        </w:tc>
        <w:tc>
          <w:tcPr>
            <w:tcW w:w="28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中试产业——创新策源的青白江实践与探索</w:t>
            </w:r>
          </w:p>
        </w:tc>
        <w:tc>
          <w:tcPr>
            <w:tcW w:w="8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学术专著</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庞红英、张王豆、张志林、王仙</w:t>
            </w:r>
          </w:p>
        </w:tc>
        <w:tc>
          <w:tcPr>
            <w:tcW w:w="15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四川人民出版社</w:t>
            </w:r>
          </w:p>
        </w:tc>
        <w:tc>
          <w:tcPr>
            <w:tcW w:w="9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一等奖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17" w:hRule="atLeast"/>
        </w:trPr>
        <w:tc>
          <w:tcPr>
            <w:tcW w:w="475" w:type="dxa"/>
            <w:vMerge w:val="continue"/>
            <w:tcBorders>
              <w:top w:val="single" w:color="000000" w:sz="4" w:space="0"/>
              <w:left w:val="single" w:color="000000" w:sz="4" w:space="0"/>
              <w:bottom w:val="single" w:color="000000" w:sz="4" w:space="0"/>
              <w:right w:val="single" w:color="000000" w:sz="4" w:space="0"/>
            </w:tcBorders>
            <w:shd w:val="clear" w:color="auto" w:fill="auto"/>
            <w:noWrap/>
            <w:textDirection w:val="tbRlV"/>
            <w:vAlign w:val="center"/>
          </w:tcPr>
          <w:p>
            <w:pPr>
              <w:rPr>
                <w:rFonts w:hint="eastAsia" w:ascii="宋体" w:hAnsi="宋体" w:eastAsia="宋体" w:cs="宋体"/>
                <w:i w:val="0"/>
                <w:iCs w:val="0"/>
                <w:color w:val="000000"/>
                <w:sz w:val="22"/>
                <w:szCs w:val="22"/>
                <w:u w:val="none"/>
              </w:rPr>
            </w:pPr>
          </w:p>
        </w:tc>
        <w:tc>
          <w:tcPr>
            <w:tcW w:w="4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6</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成都市委党校</w:t>
            </w:r>
          </w:p>
        </w:tc>
        <w:tc>
          <w:tcPr>
            <w:tcW w:w="28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何去何从：事业编辅警的身份、情感及伦理实践</w:t>
            </w:r>
          </w:p>
        </w:tc>
        <w:tc>
          <w:tcPr>
            <w:tcW w:w="8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学术论文</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马郁靖</w:t>
            </w:r>
          </w:p>
        </w:tc>
        <w:tc>
          <w:tcPr>
            <w:tcW w:w="15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《湖北民族大学学报(哲学社会科学版)》（CSSCI来源期刊）</w:t>
            </w:r>
          </w:p>
        </w:tc>
        <w:tc>
          <w:tcPr>
            <w:tcW w:w="9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二等奖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17" w:hRule="atLeast"/>
        </w:trPr>
        <w:tc>
          <w:tcPr>
            <w:tcW w:w="475" w:type="dxa"/>
            <w:vMerge w:val="continue"/>
            <w:tcBorders>
              <w:top w:val="single" w:color="000000" w:sz="4" w:space="0"/>
              <w:left w:val="single" w:color="000000" w:sz="4" w:space="0"/>
              <w:bottom w:val="single" w:color="000000" w:sz="4" w:space="0"/>
              <w:right w:val="single" w:color="000000" w:sz="4" w:space="0"/>
            </w:tcBorders>
            <w:shd w:val="clear" w:color="auto" w:fill="auto"/>
            <w:noWrap/>
            <w:textDirection w:val="tbRlV"/>
            <w:vAlign w:val="center"/>
          </w:tcPr>
          <w:p>
            <w:pPr>
              <w:rPr>
                <w:rFonts w:hint="eastAsia" w:ascii="宋体" w:hAnsi="宋体" w:eastAsia="宋体" w:cs="宋体"/>
                <w:i w:val="0"/>
                <w:iCs w:val="0"/>
                <w:color w:val="000000"/>
                <w:sz w:val="22"/>
                <w:szCs w:val="22"/>
                <w:u w:val="none"/>
              </w:rPr>
            </w:pPr>
          </w:p>
        </w:tc>
        <w:tc>
          <w:tcPr>
            <w:tcW w:w="4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宋体" w:hAnsi="宋体" w:eastAsia="宋体" w:cs="宋体"/>
                <w:i w:val="0"/>
                <w:iCs w:val="0"/>
                <w:color w:val="000000"/>
                <w:kern w:val="2"/>
                <w:sz w:val="21"/>
                <w:szCs w:val="21"/>
                <w:u w:val="none"/>
                <w:lang w:val="en-US" w:eastAsia="zh-CN" w:bidi="ar-SA"/>
              </w:rPr>
            </w:pPr>
            <w:r>
              <w:rPr>
                <w:rFonts w:hint="eastAsia" w:ascii="宋体" w:hAnsi="宋体" w:eastAsia="宋体" w:cs="宋体"/>
                <w:i w:val="0"/>
                <w:iCs w:val="0"/>
                <w:color w:val="000000"/>
                <w:kern w:val="2"/>
                <w:sz w:val="21"/>
                <w:szCs w:val="21"/>
                <w:u w:val="none"/>
                <w:lang w:val="en-US" w:eastAsia="zh-CN" w:bidi="ar-SA"/>
              </w:rPr>
              <w:t>7</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kern w:val="2"/>
                <w:sz w:val="21"/>
                <w:szCs w:val="21"/>
                <w:u w:val="none"/>
                <w:lang w:val="en-US" w:eastAsia="zh-CN" w:bidi="ar-SA"/>
              </w:rPr>
            </w:pPr>
            <w:r>
              <w:rPr>
                <w:rFonts w:hint="eastAsia" w:ascii="宋体" w:hAnsi="宋体" w:eastAsia="宋体" w:cs="宋体"/>
                <w:i w:val="0"/>
                <w:iCs w:val="0"/>
                <w:color w:val="000000"/>
                <w:kern w:val="0"/>
                <w:sz w:val="21"/>
                <w:szCs w:val="21"/>
                <w:u w:val="none"/>
                <w:lang w:val="en-US" w:eastAsia="zh-CN" w:bidi="ar"/>
              </w:rPr>
              <w:t>南充市委党校</w:t>
            </w:r>
          </w:p>
        </w:tc>
        <w:tc>
          <w:tcPr>
            <w:tcW w:w="28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kern w:val="2"/>
                <w:sz w:val="21"/>
                <w:szCs w:val="21"/>
                <w:u w:val="none"/>
                <w:lang w:val="en-US" w:eastAsia="zh-CN" w:bidi="ar-SA"/>
              </w:rPr>
            </w:pPr>
            <w:r>
              <w:rPr>
                <w:rFonts w:hint="eastAsia" w:ascii="宋体" w:hAnsi="宋体" w:eastAsia="宋体" w:cs="宋体"/>
                <w:i w:val="0"/>
                <w:iCs w:val="0"/>
                <w:color w:val="000000"/>
                <w:kern w:val="0"/>
                <w:sz w:val="21"/>
                <w:szCs w:val="21"/>
                <w:u w:val="none"/>
                <w:lang w:val="en-US" w:eastAsia="zh-CN" w:bidi="ar"/>
              </w:rPr>
              <w:t>“弘扬伟大建党精神视域下的新时代党风建设长效机制研究——基于N市的调查与思考”——系列成果</w:t>
            </w:r>
          </w:p>
        </w:tc>
        <w:tc>
          <w:tcPr>
            <w:tcW w:w="8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2"/>
                <w:sz w:val="21"/>
                <w:szCs w:val="21"/>
                <w:u w:val="none"/>
                <w:lang w:val="en-US" w:eastAsia="zh-CN" w:bidi="ar-SA"/>
              </w:rPr>
            </w:pPr>
            <w:r>
              <w:rPr>
                <w:rFonts w:hint="eastAsia" w:ascii="宋体" w:hAnsi="宋体" w:eastAsia="宋体" w:cs="宋体"/>
                <w:i w:val="0"/>
                <w:iCs w:val="0"/>
                <w:color w:val="000000"/>
                <w:kern w:val="0"/>
                <w:sz w:val="21"/>
                <w:szCs w:val="21"/>
                <w:u w:val="none"/>
                <w:lang w:val="en-US" w:eastAsia="zh-CN" w:bidi="ar"/>
              </w:rPr>
              <w:t>学术专著；学术论文；调研报告</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kern w:val="2"/>
                <w:sz w:val="21"/>
                <w:szCs w:val="21"/>
                <w:u w:val="none"/>
                <w:lang w:val="en-US" w:eastAsia="zh-CN" w:bidi="ar-SA"/>
              </w:rPr>
            </w:pPr>
            <w:r>
              <w:rPr>
                <w:rFonts w:hint="eastAsia" w:ascii="宋体" w:hAnsi="宋体" w:eastAsia="宋体" w:cs="宋体"/>
                <w:i w:val="0"/>
                <w:iCs w:val="0"/>
                <w:color w:val="000000"/>
                <w:kern w:val="0"/>
                <w:sz w:val="21"/>
                <w:szCs w:val="21"/>
                <w:u w:val="none"/>
                <w:lang w:val="en-US" w:eastAsia="zh-CN" w:bidi="ar"/>
              </w:rPr>
              <w:t>梁宇、孙明远、杨洋、龙世胜、李金秀</w:t>
            </w:r>
          </w:p>
        </w:tc>
        <w:tc>
          <w:tcPr>
            <w:tcW w:w="15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kern w:val="2"/>
                <w:sz w:val="21"/>
                <w:szCs w:val="21"/>
                <w:u w:val="none"/>
                <w:lang w:val="en-US" w:eastAsia="zh-CN" w:bidi="ar-SA"/>
              </w:rPr>
            </w:pPr>
            <w:r>
              <w:rPr>
                <w:rFonts w:hint="eastAsia" w:ascii="宋体" w:hAnsi="宋体" w:eastAsia="宋体" w:cs="宋体"/>
                <w:i w:val="0"/>
                <w:iCs w:val="0"/>
                <w:color w:val="000000"/>
                <w:kern w:val="0"/>
                <w:sz w:val="21"/>
                <w:szCs w:val="21"/>
                <w:u w:val="none"/>
                <w:lang w:val="en-US" w:eastAsia="zh-CN" w:bidi="ar"/>
              </w:rPr>
              <w:t>四川省科技计划项目软科学项目；西南财经大学出版社；领导科学论坛；《中共乐山市委党校学报》</w:t>
            </w:r>
          </w:p>
        </w:tc>
        <w:tc>
          <w:tcPr>
            <w:tcW w:w="9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kern w:val="2"/>
                <w:sz w:val="21"/>
                <w:szCs w:val="21"/>
                <w:u w:val="none"/>
                <w:lang w:val="en-US" w:eastAsia="zh-CN" w:bidi="ar-SA"/>
              </w:rPr>
            </w:pPr>
            <w:r>
              <w:rPr>
                <w:rFonts w:hint="eastAsia" w:ascii="宋体" w:hAnsi="宋体" w:eastAsia="宋体" w:cs="宋体"/>
                <w:i w:val="0"/>
                <w:iCs w:val="0"/>
                <w:color w:val="000000"/>
                <w:kern w:val="0"/>
                <w:sz w:val="21"/>
                <w:szCs w:val="21"/>
                <w:u w:val="none"/>
                <w:lang w:val="en-US" w:eastAsia="zh-CN" w:bidi="ar"/>
              </w:rPr>
              <w:t>二等奖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14" w:hRule="atLeast"/>
        </w:trPr>
        <w:tc>
          <w:tcPr>
            <w:tcW w:w="475" w:type="dxa"/>
            <w:vMerge w:val="continue"/>
            <w:tcBorders>
              <w:top w:val="single" w:color="000000" w:sz="4" w:space="0"/>
              <w:left w:val="single" w:color="000000" w:sz="4" w:space="0"/>
              <w:bottom w:val="single" w:color="000000" w:sz="4" w:space="0"/>
              <w:right w:val="single" w:color="000000" w:sz="4" w:space="0"/>
            </w:tcBorders>
            <w:shd w:val="clear" w:color="auto" w:fill="auto"/>
            <w:noWrap/>
            <w:textDirection w:val="tbRlV"/>
            <w:vAlign w:val="center"/>
          </w:tcPr>
          <w:p>
            <w:pPr>
              <w:rPr>
                <w:rFonts w:hint="eastAsia" w:ascii="宋体" w:hAnsi="宋体" w:eastAsia="宋体" w:cs="宋体"/>
                <w:i w:val="0"/>
                <w:iCs w:val="0"/>
                <w:color w:val="000000"/>
                <w:sz w:val="22"/>
                <w:szCs w:val="22"/>
                <w:u w:val="none"/>
              </w:rPr>
            </w:pPr>
          </w:p>
        </w:tc>
        <w:tc>
          <w:tcPr>
            <w:tcW w:w="4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8</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泸州市委党校</w:t>
            </w:r>
          </w:p>
        </w:tc>
        <w:tc>
          <w:tcPr>
            <w:tcW w:w="28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泸州设立“反向飞地”助力高质量招商引资的建议</w:t>
            </w:r>
          </w:p>
        </w:tc>
        <w:tc>
          <w:tcPr>
            <w:tcW w:w="8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学术论文</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杨陈静</w:t>
            </w:r>
          </w:p>
        </w:tc>
        <w:tc>
          <w:tcPr>
            <w:tcW w:w="15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《决策咨询》2024年第6期</w:t>
            </w:r>
          </w:p>
        </w:tc>
        <w:tc>
          <w:tcPr>
            <w:tcW w:w="9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二等奖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39" w:hRule="atLeast"/>
        </w:trPr>
        <w:tc>
          <w:tcPr>
            <w:tcW w:w="475" w:type="dxa"/>
            <w:vMerge w:val="continue"/>
            <w:tcBorders>
              <w:top w:val="single" w:color="000000" w:sz="4" w:space="0"/>
              <w:left w:val="single" w:color="000000" w:sz="4" w:space="0"/>
              <w:bottom w:val="single" w:color="000000" w:sz="4" w:space="0"/>
              <w:right w:val="single" w:color="000000" w:sz="4" w:space="0"/>
            </w:tcBorders>
            <w:shd w:val="clear" w:color="auto" w:fill="auto"/>
            <w:noWrap/>
            <w:textDirection w:val="tbRlV"/>
            <w:vAlign w:val="center"/>
          </w:tcPr>
          <w:p>
            <w:pPr>
              <w:rPr>
                <w:rFonts w:hint="eastAsia" w:ascii="宋体" w:hAnsi="宋体" w:eastAsia="宋体" w:cs="宋体"/>
                <w:i w:val="0"/>
                <w:iCs w:val="0"/>
                <w:color w:val="000000"/>
                <w:sz w:val="22"/>
                <w:szCs w:val="22"/>
                <w:u w:val="none"/>
              </w:rPr>
            </w:pPr>
          </w:p>
        </w:tc>
        <w:tc>
          <w:tcPr>
            <w:tcW w:w="4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9</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绵阳市委党校</w:t>
            </w:r>
          </w:p>
        </w:tc>
        <w:tc>
          <w:tcPr>
            <w:tcW w:w="28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知识生产问题研究改进探讨——基于过程与形态的知识生产分析框架</w:t>
            </w:r>
          </w:p>
        </w:tc>
        <w:tc>
          <w:tcPr>
            <w:tcW w:w="8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学术论文</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陶鑫、盛毅</w:t>
            </w:r>
          </w:p>
        </w:tc>
        <w:tc>
          <w:tcPr>
            <w:tcW w:w="15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《社会科学研究》</w:t>
            </w:r>
          </w:p>
        </w:tc>
        <w:tc>
          <w:tcPr>
            <w:tcW w:w="9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二等奖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17" w:hRule="atLeast"/>
        </w:trPr>
        <w:tc>
          <w:tcPr>
            <w:tcW w:w="475" w:type="dxa"/>
            <w:vMerge w:val="continue"/>
            <w:tcBorders>
              <w:top w:val="single" w:color="000000" w:sz="4" w:space="0"/>
              <w:left w:val="single" w:color="000000" w:sz="4" w:space="0"/>
              <w:bottom w:val="single" w:color="000000" w:sz="4" w:space="0"/>
              <w:right w:val="single" w:color="000000" w:sz="4" w:space="0"/>
            </w:tcBorders>
            <w:shd w:val="clear" w:color="auto" w:fill="auto"/>
            <w:noWrap/>
            <w:textDirection w:val="tbRlV"/>
            <w:vAlign w:val="center"/>
          </w:tcPr>
          <w:p>
            <w:pPr>
              <w:rPr>
                <w:rFonts w:hint="eastAsia" w:ascii="宋体" w:hAnsi="宋体" w:eastAsia="宋体" w:cs="宋体"/>
                <w:i w:val="0"/>
                <w:iCs w:val="0"/>
                <w:color w:val="000000"/>
                <w:sz w:val="22"/>
                <w:szCs w:val="22"/>
                <w:u w:val="none"/>
              </w:rPr>
            </w:pPr>
          </w:p>
        </w:tc>
        <w:tc>
          <w:tcPr>
            <w:tcW w:w="4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宋体" w:hAnsi="宋体" w:eastAsia="宋体" w:cs="宋体"/>
                <w:i w:val="0"/>
                <w:iCs w:val="0"/>
                <w:color w:val="000000"/>
                <w:sz w:val="21"/>
                <w:szCs w:val="21"/>
                <w:u w:val="none"/>
                <w:lang w:val="en-US"/>
              </w:rPr>
            </w:pPr>
            <w:r>
              <w:rPr>
                <w:rFonts w:hint="eastAsia" w:ascii="宋体" w:hAnsi="宋体" w:eastAsia="宋体" w:cs="宋体"/>
                <w:i w:val="0"/>
                <w:iCs w:val="0"/>
                <w:color w:val="000000"/>
                <w:kern w:val="0"/>
                <w:sz w:val="21"/>
                <w:szCs w:val="21"/>
                <w:u w:val="none"/>
                <w:lang w:val="en-US" w:eastAsia="zh-CN" w:bidi="ar"/>
              </w:rPr>
              <w:t>10</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乐山市委党校</w:t>
            </w:r>
          </w:p>
        </w:tc>
        <w:tc>
          <w:tcPr>
            <w:tcW w:w="28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四川核技术应用产业高质量发展实践研究</w:t>
            </w:r>
          </w:p>
        </w:tc>
        <w:tc>
          <w:tcPr>
            <w:tcW w:w="8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研究报告</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葛子靖、严红、韩琼慧、薛蕾、周亚军</w:t>
            </w:r>
          </w:p>
        </w:tc>
        <w:tc>
          <w:tcPr>
            <w:tcW w:w="15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市州重大委托项目</w:t>
            </w:r>
          </w:p>
        </w:tc>
        <w:tc>
          <w:tcPr>
            <w:tcW w:w="9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二等奖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39" w:hRule="atLeast"/>
        </w:trPr>
        <w:tc>
          <w:tcPr>
            <w:tcW w:w="475" w:type="dxa"/>
            <w:vMerge w:val="continue"/>
            <w:tcBorders>
              <w:top w:val="single" w:color="000000" w:sz="4" w:space="0"/>
              <w:left w:val="single" w:color="000000" w:sz="4" w:space="0"/>
              <w:bottom w:val="single" w:color="000000" w:sz="4" w:space="0"/>
              <w:right w:val="single" w:color="000000" w:sz="4" w:space="0"/>
            </w:tcBorders>
            <w:shd w:val="clear" w:color="auto" w:fill="auto"/>
            <w:noWrap/>
            <w:textDirection w:val="tbRlV"/>
            <w:vAlign w:val="center"/>
          </w:tcPr>
          <w:p>
            <w:pPr>
              <w:rPr>
                <w:rFonts w:hint="eastAsia" w:ascii="宋体" w:hAnsi="宋体" w:eastAsia="宋体" w:cs="宋体"/>
                <w:i w:val="0"/>
                <w:iCs w:val="0"/>
                <w:color w:val="000000"/>
                <w:sz w:val="22"/>
                <w:szCs w:val="22"/>
                <w:u w:val="none"/>
              </w:rPr>
            </w:pPr>
          </w:p>
        </w:tc>
        <w:tc>
          <w:tcPr>
            <w:tcW w:w="4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宋体" w:hAnsi="宋体" w:eastAsia="宋体" w:cs="宋体"/>
                <w:i w:val="0"/>
                <w:iCs w:val="0"/>
                <w:color w:val="000000"/>
                <w:sz w:val="21"/>
                <w:szCs w:val="21"/>
                <w:u w:val="none"/>
                <w:lang w:val="en-US"/>
              </w:rPr>
            </w:pPr>
            <w:r>
              <w:rPr>
                <w:rFonts w:hint="eastAsia" w:ascii="宋体" w:hAnsi="宋体" w:eastAsia="宋体" w:cs="宋体"/>
                <w:i w:val="0"/>
                <w:iCs w:val="0"/>
                <w:color w:val="000000"/>
                <w:kern w:val="0"/>
                <w:sz w:val="21"/>
                <w:szCs w:val="21"/>
                <w:u w:val="none"/>
                <w:lang w:val="en-US" w:eastAsia="zh-CN" w:bidi="ar"/>
              </w:rPr>
              <w:t>11</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南充市仪陇县委党校</w:t>
            </w:r>
          </w:p>
        </w:tc>
        <w:tc>
          <w:tcPr>
            <w:tcW w:w="28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生态脆弱地区易地搬迁与乡村产业振兴：理论探析、动力考量及影响机理</w:t>
            </w:r>
          </w:p>
        </w:tc>
        <w:tc>
          <w:tcPr>
            <w:tcW w:w="8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学术论文</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闫紫月</w:t>
            </w:r>
          </w:p>
        </w:tc>
        <w:tc>
          <w:tcPr>
            <w:tcW w:w="15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《成都行政学院学报》</w:t>
            </w:r>
          </w:p>
        </w:tc>
        <w:tc>
          <w:tcPr>
            <w:tcW w:w="9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二等奖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97" w:hRule="atLeast"/>
        </w:trPr>
        <w:tc>
          <w:tcPr>
            <w:tcW w:w="475" w:type="dxa"/>
            <w:vMerge w:val="continue"/>
            <w:tcBorders>
              <w:top w:val="single" w:color="000000" w:sz="4" w:space="0"/>
              <w:left w:val="single" w:color="000000" w:sz="4" w:space="0"/>
              <w:bottom w:val="single" w:color="000000" w:sz="4" w:space="0"/>
              <w:right w:val="single" w:color="000000" w:sz="4" w:space="0"/>
            </w:tcBorders>
            <w:shd w:val="clear" w:color="auto" w:fill="auto"/>
            <w:noWrap/>
            <w:textDirection w:val="tbRlV"/>
            <w:vAlign w:val="center"/>
          </w:tcPr>
          <w:p>
            <w:pPr>
              <w:rPr>
                <w:rFonts w:hint="eastAsia" w:ascii="宋体" w:hAnsi="宋体" w:eastAsia="宋体" w:cs="宋体"/>
                <w:i w:val="0"/>
                <w:iCs w:val="0"/>
                <w:color w:val="000000"/>
                <w:sz w:val="22"/>
                <w:szCs w:val="22"/>
                <w:u w:val="none"/>
              </w:rPr>
            </w:pPr>
          </w:p>
        </w:tc>
        <w:tc>
          <w:tcPr>
            <w:tcW w:w="4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12</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省直机关党校</w:t>
            </w:r>
          </w:p>
        </w:tc>
        <w:tc>
          <w:tcPr>
            <w:tcW w:w="28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话语标记“可以了”的语用功能及其形成机制——兼论话语标记“可以了”与“好了”“行了”的语用差异</w:t>
            </w:r>
          </w:p>
        </w:tc>
        <w:tc>
          <w:tcPr>
            <w:tcW w:w="8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学术论文</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梁凱</w:t>
            </w:r>
          </w:p>
        </w:tc>
        <w:tc>
          <w:tcPr>
            <w:tcW w:w="15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《华文教学与研究》</w:t>
            </w:r>
          </w:p>
        </w:tc>
        <w:tc>
          <w:tcPr>
            <w:tcW w:w="9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二等奖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038" w:hRule="atLeast"/>
        </w:trPr>
        <w:tc>
          <w:tcPr>
            <w:tcW w:w="475" w:type="dxa"/>
            <w:vMerge w:val="continue"/>
            <w:tcBorders>
              <w:top w:val="single" w:color="000000" w:sz="4" w:space="0"/>
              <w:left w:val="single" w:color="000000" w:sz="4" w:space="0"/>
              <w:bottom w:val="single" w:color="000000" w:sz="4" w:space="0"/>
              <w:right w:val="single" w:color="000000" w:sz="4" w:space="0"/>
            </w:tcBorders>
            <w:shd w:val="clear" w:color="auto" w:fill="auto"/>
            <w:noWrap/>
            <w:textDirection w:val="tbRlV"/>
            <w:vAlign w:val="center"/>
          </w:tcPr>
          <w:p>
            <w:pPr>
              <w:rPr>
                <w:rFonts w:hint="eastAsia" w:ascii="宋体" w:hAnsi="宋体" w:eastAsia="宋体" w:cs="宋体"/>
                <w:i w:val="0"/>
                <w:iCs w:val="0"/>
                <w:color w:val="000000"/>
                <w:sz w:val="22"/>
                <w:szCs w:val="22"/>
                <w:u w:val="none"/>
              </w:rPr>
            </w:pPr>
          </w:p>
        </w:tc>
        <w:tc>
          <w:tcPr>
            <w:tcW w:w="4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13</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成都市委党校</w:t>
            </w:r>
          </w:p>
        </w:tc>
        <w:tc>
          <w:tcPr>
            <w:tcW w:w="28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多模态AI赋能中华民族现代文明国际传播的逻辑机理、现实风险与路径创新</w:t>
            </w:r>
          </w:p>
        </w:tc>
        <w:tc>
          <w:tcPr>
            <w:tcW w:w="8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学术论文</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王维</w:t>
            </w:r>
          </w:p>
        </w:tc>
        <w:tc>
          <w:tcPr>
            <w:tcW w:w="15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《民族学刊》（CSSCI来源期刊）</w:t>
            </w:r>
          </w:p>
        </w:tc>
        <w:tc>
          <w:tcPr>
            <w:tcW w:w="9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二等奖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098" w:hRule="atLeast"/>
        </w:trPr>
        <w:tc>
          <w:tcPr>
            <w:tcW w:w="475" w:type="dxa"/>
            <w:vMerge w:val="continue"/>
            <w:tcBorders>
              <w:top w:val="single" w:color="000000" w:sz="4" w:space="0"/>
              <w:left w:val="single" w:color="000000" w:sz="4" w:space="0"/>
              <w:bottom w:val="single" w:color="000000" w:sz="4" w:space="0"/>
              <w:right w:val="single" w:color="000000" w:sz="4" w:space="0"/>
            </w:tcBorders>
            <w:shd w:val="clear" w:color="auto" w:fill="auto"/>
            <w:noWrap/>
            <w:textDirection w:val="tbRlV"/>
            <w:vAlign w:val="center"/>
          </w:tcPr>
          <w:p>
            <w:pPr>
              <w:rPr>
                <w:rFonts w:hint="eastAsia" w:ascii="宋体" w:hAnsi="宋体" w:eastAsia="宋体" w:cs="宋体"/>
                <w:i w:val="0"/>
                <w:iCs w:val="0"/>
                <w:color w:val="000000"/>
                <w:sz w:val="22"/>
                <w:szCs w:val="22"/>
                <w:u w:val="none"/>
              </w:rPr>
            </w:pPr>
          </w:p>
        </w:tc>
        <w:tc>
          <w:tcPr>
            <w:tcW w:w="4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14</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遂宁市委党校</w:t>
            </w:r>
          </w:p>
        </w:tc>
        <w:tc>
          <w:tcPr>
            <w:tcW w:w="28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贯彻落实习近平总书记关于脱贫攻坚和乡村振兴重要论述的遂宁实践</w:t>
            </w:r>
          </w:p>
        </w:tc>
        <w:tc>
          <w:tcPr>
            <w:tcW w:w="8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研究报告</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张智勇、杨宇晴、吴剑呼、杨霜依、汪惠琳</w:t>
            </w:r>
          </w:p>
        </w:tc>
        <w:tc>
          <w:tcPr>
            <w:tcW w:w="15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市州重大委托项目</w:t>
            </w:r>
          </w:p>
        </w:tc>
        <w:tc>
          <w:tcPr>
            <w:tcW w:w="9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二等奖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14" w:hRule="atLeast"/>
        </w:trPr>
        <w:tc>
          <w:tcPr>
            <w:tcW w:w="475" w:type="dxa"/>
            <w:vMerge w:val="continue"/>
            <w:tcBorders>
              <w:top w:val="single" w:color="000000" w:sz="4" w:space="0"/>
              <w:left w:val="single" w:color="000000" w:sz="4" w:space="0"/>
              <w:bottom w:val="single" w:color="000000" w:sz="4" w:space="0"/>
              <w:right w:val="single" w:color="000000" w:sz="4" w:space="0"/>
            </w:tcBorders>
            <w:shd w:val="clear" w:color="auto" w:fill="auto"/>
            <w:noWrap/>
            <w:textDirection w:val="tbRlV"/>
            <w:vAlign w:val="center"/>
          </w:tcPr>
          <w:p>
            <w:pPr>
              <w:rPr>
                <w:rFonts w:hint="eastAsia" w:ascii="宋体" w:hAnsi="宋体" w:eastAsia="宋体" w:cs="宋体"/>
                <w:i w:val="0"/>
                <w:iCs w:val="0"/>
                <w:color w:val="000000"/>
                <w:sz w:val="22"/>
                <w:szCs w:val="22"/>
                <w:u w:val="none"/>
              </w:rPr>
            </w:pPr>
          </w:p>
        </w:tc>
        <w:tc>
          <w:tcPr>
            <w:tcW w:w="4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15</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宜宾市委党校</w:t>
            </w:r>
          </w:p>
        </w:tc>
        <w:tc>
          <w:tcPr>
            <w:tcW w:w="28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企业新型学徒制推进的现状、困境与纾困策略</w:t>
            </w:r>
          </w:p>
        </w:tc>
        <w:tc>
          <w:tcPr>
            <w:tcW w:w="8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学术论文</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吴思颖、肖纲领</w:t>
            </w:r>
          </w:p>
        </w:tc>
        <w:tc>
          <w:tcPr>
            <w:tcW w:w="15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《中国职业技术教育》</w:t>
            </w:r>
          </w:p>
        </w:tc>
        <w:tc>
          <w:tcPr>
            <w:tcW w:w="9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二等奖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39" w:hRule="atLeast"/>
        </w:trPr>
        <w:tc>
          <w:tcPr>
            <w:tcW w:w="475" w:type="dxa"/>
            <w:vMerge w:val="continue"/>
            <w:tcBorders>
              <w:top w:val="single" w:color="000000" w:sz="4" w:space="0"/>
              <w:left w:val="single" w:color="000000" w:sz="4" w:space="0"/>
              <w:bottom w:val="single" w:color="000000" w:sz="4" w:space="0"/>
              <w:right w:val="single" w:color="000000" w:sz="4" w:space="0"/>
            </w:tcBorders>
            <w:shd w:val="clear" w:color="auto" w:fill="auto"/>
            <w:noWrap/>
            <w:textDirection w:val="tbRlV"/>
            <w:vAlign w:val="center"/>
          </w:tcPr>
          <w:p>
            <w:pPr>
              <w:rPr>
                <w:rFonts w:hint="eastAsia" w:ascii="宋体" w:hAnsi="宋体" w:eastAsia="宋体" w:cs="宋体"/>
                <w:i w:val="0"/>
                <w:iCs w:val="0"/>
                <w:color w:val="000000"/>
                <w:sz w:val="22"/>
                <w:szCs w:val="22"/>
                <w:u w:val="none"/>
              </w:rPr>
            </w:pPr>
          </w:p>
        </w:tc>
        <w:tc>
          <w:tcPr>
            <w:tcW w:w="4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16</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广元市委党校</w:t>
            </w:r>
          </w:p>
        </w:tc>
        <w:tc>
          <w:tcPr>
            <w:tcW w:w="28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散杂居地区创建全国民族团结进步示范市的实践路径研究——以四川省广元市为例</w:t>
            </w:r>
          </w:p>
        </w:tc>
        <w:tc>
          <w:tcPr>
            <w:tcW w:w="8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学术论文</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胡欣霞</w:t>
            </w:r>
          </w:p>
        </w:tc>
        <w:tc>
          <w:tcPr>
            <w:tcW w:w="15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《四川省社会主义学院学报》</w:t>
            </w:r>
          </w:p>
        </w:tc>
        <w:tc>
          <w:tcPr>
            <w:tcW w:w="9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39" w:hRule="atLeast"/>
        </w:trPr>
        <w:tc>
          <w:tcPr>
            <w:tcW w:w="475" w:type="dxa"/>
            <w:vMerge w:val="continue"/>
            <w:tcBorders>
              <w:top w:val="single" w:color="000000" w:sz="4" w:space="0"/>
              <w:left w:val="single" w:color="000000" w:sz="4" w:space="0"/>
              <w:bottom w:val="single" w:color="000000" w:sz="4" w:space="0"/>
              <w:right w:val="single" w:color="000000" w:sz="4" w:space="0"/>
            </w:tcBorders>
            <w:shd w:val="clear" w:color="auto" w:fill="auto"/>
            <w:noWrap/>
            <w:textDirection w:val="tbRlV"/>
            <w:vAlign w:val="center"/>
          </w:tcPr>
          <w:p>
            <w:pPr>
              <w:rPr>
                <w:rFonts w:hint="eastAsia" w:ascii="宋体" w:hAnsi="宋体" w:eastAsia="宋体" w:cs="宋体"/>
                <w:i w:val="0"/>
                <w:iCs w:val="0"/>
                <w:color w:val="000000"/>
                <w:sz w:val="22"/>
                <w:szCs w:val="22"/>
                <w:u w:val="none"/>
              </w:rPr>
            </w:pPr>
          </w:p>
        </w:tc>
        <w:tc>
          <w:tcPr>
            <w:tcW w:w="4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17</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遂宁市射洪市委党校</w:t>
            </w:r>
          </w:p>
        </w:tc>
        <w:tc>
          <w:tcPr>
            <w:tcW w:w="28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城市社区治理模式创新研究——基于射洪市的调查分析</w:t>
            </w:r>
          </w:p>
        </w:tc>
        <w:tc>
          <w:tcPr>
            <w:tcW w:w="8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学术论文</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韩茂华</w:t>
            </w:r>
          </w:p>
        </w:tc>
        <w:tc>
          <w:tcPr>
            <w:tcW w:w="15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《四川行政学院学报》</w:t>
            </w:r>
          </w:p>
        </w:tc>
        <w:tc>
          <w:tcPr>
            <w:tcW w:w="9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14" w:hRule="atLeast"/>
        </w:trPr>
        <w:tc>
          <w:tcPr>
            <w:tcW w:w="475" w:type="dxa"/>
            <w:vMerge w:val="continue"/>
            <w:tcBorders>
              <w:top w:val="single" w:color="000000" w:sz="4" w:space="0"/>
              <w:left w:val="single" w:color="000000" w:sz="4" w:space="0"/>
              <w:bottom w:val="single" w:color="000000" w:sz="4" w:space="0"/>
              <w:right w:val="single" w:color="000000" w:sz="4" w:space="0"/>
            </w:tcBorders>
            <w:shd w:val="clear" w:color="auto" w:fill="auto"/>
            <w:noWrap/>
            <w:textDirection w:val="tbRlV"/>
            <w:vAlign w:val="center"/>
          </w:tcPr>
          <w:p>
            <w:pPr>
              <w:rPr>
                <w:rFonts w:hint="eastAsia" w:ascii="宋体" w:hAnsi="宋体" w:eastAsia="宋体" w:cs="宋体"/>
                <w:i w:val="0"/>
                <w:iCs w:val="0"/>
                <w:color w:val="000000"/>
                <w:sz w:val="22"/>
                <w:szCs w:val="22"/>
                <w:u w:val="none"/>
              </w:rPr>
            </w:pPr>
          </w:p>
        </w:tc>
        <w:tc>
          <w:tcPr>
            <w:tcW w:w="4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18</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内江市委党校</w:t>
            </w:r>
          </w:p>
        </w:tc>
        <w:tc>
          <w:tcPr>
            <w:tcW w:w="28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内江市红色交通资源保护传承的路径研究</w:t>
            </w:r>
          </w:p>
        </w:tc>
        <w:tc>
          <w:tcPr>
            <w:tcW w:w="8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学术论文</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钱金凤</w:t>
            </w:r>
          </w:p>
        </w:tc>
        <w:tc>
          <w:tcPr>
            <w:tcW w:w="15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《中共太原市委党校学报》</w:t>
            </w:r>
          </w:p>
        </w:tc>
        <w:tc>
          <w:tcPr>
            <w:tcW w:w="9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39" w:hRule="atLeast"/>
        </w:trPr>
        <w:tc>
          <w:tcPr>
            <w:tcW w:w="475" w:type="dxa"/>
            <w:vMerge w:val="continue"/>
            <w:tcBorders>
              <w:top w:val="single" w:color="000000" w:sz="4" w:space="0"/>
              <w:left w:val="single" w:color="000000" w:sz="4" w:space="0"/>
              <w:bottom w:val="single" w:color="000000" w:sz="4" w:space="0"/>
              <w:right w:val="single" w:color="000000" w:sz="4" w:space="0"/>
            </w:tcBorders>
            <w:shd w:val="clear" w:color="auto" w:fill="auto"/>
            <w:noWrap/>
            <w:textDirection w:val="tbRlV"/>
            <w:vAlign w:val="center"/>
          </w:tcPr>
          <w:p>
            <w:pPr>
              <w:rPr>
                <w:rFonts w:hint="eastAsia" w:ascii="宋体" w:hAnsi="宋体" w:eastAsia="宋体" w:cs="宋体"/>
                <w:i w:val="0"/>
                <w:iCs w:val="0"/>
                <w:color w:val="000000"/>
                <w:sz w:val="22"/>
                <w:szCs w:val="22"/>
                <w:u w:val="none"/>
              </w:rPr>
            </w:pPr>
          </w:p>
        </w:tc>
        <w:tc>
          <w:tcPr>
            <w:tcW w:w="4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19</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乐山市委党校</w:t>
            </w:r>
          </w:p>
        </w:tc>
        <w:tc>
          <w:tcPr>
            <w:tcW w:w="28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改革开放以来邓小平关于党的纪律建设重要论述及其当代启示</w:t>
            </w:r>
          </w:p>
        </w:tc>
        <w:tc>
          <w:tcPr>
            <w:tcW w:w="8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学术论文</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沈秋霞</w:t>
            </w:r>
          </w:p>
        </w:tc>
        <w:tc>
          <w:tcPr>
            <w:tcW w:w="15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《中共乐山市委党校学报》</w:t>
            </w:r>
          </w:p>
        </w:tc>
        <w:tc>
          <w:tcPr>
            <w:tcW w:w="9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690" w:hRule="atLeast"/>
        </w:trPr>
        <w:tc>
          <w:tcPr>
            <w:tcW w:w="475" w:type="dxa"/>
            <w:vMerge w:val="continue"/>
            <w:tcBorders>
              <w:top w:val="single" w:color="000000" w:sz="4" w:space="0"/>
              <w:left w:val="single" w:color="000000" w:sz="4" w:space="0"/>
              <w:bottom w:val="single" w:color="000000" w:sz="4" w:space="0"/>
              <w:right w:val="single" w:color="000000" w:sz="4" w:space="0"/>
            </w:tcBorders>
            <w:shd w:val="clear" w:color="auto" w:fill="auto"/>
            <w:noWrap/>
            <w:textDirection w:val="tbRlV"/>
            <w:vAlign w:val="center"/>
          </w:tcPr>
          <w:p>
            <w:pPr>
              <w:rPr>
                <w:rFonts w:hint="eastAsia" w:ascii="宋体" w:hAnsi="宋体" w:eastAsia="宋体" w:cs="宋体"/>
                <w:i w:val="0"/>
                <w:iCs w:val="0"/>
                <w:color w:val="000000"/>
                <w:sz w:val="22"/>
                <w:szCs w:val="22"/>
                <w:u w:val="none"/>
              </w:rPr>
            </w:pPr>
          </w:p>
        </w:tc>
        <w:tc>
          <w:tcPr>
            <w:tcW w:w="4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20</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达州市委党校</w:t>
            </w:r>
          </w:p>
        </w:tc>
        <w:tc>
          <w:tcPr>
            <w:tcW w:w="28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当代国际关系下国际私法价值功能的实现</w:t>
            </w:r>
          </w:p>
        </w:tc>
        <w:tc>
          <w:tcPr>
            <w:tcW w:w="8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学术论文</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刘正全</w:t>
            </w:r>
          </w:p>
        </w:tc>
        <w:tc>
          <w:tcPr>
            <w:tcW w:w="15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《时代法学》2024年第1期（转载人大复印报刊资料法学文摘）</w:t>
            </w:r>
          </w:p>
        </w:tc>
        <w:tc>
          <w:tcPr>
            <w:tcW w:w="9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44" w:hRule="atLeast"/>
        </w:trPr>
        <w:tc>
          <w:tcPr>
            <w:tcW w:w="475" w:type="dxa"/>
            <w:vMerge w:val="continue"/>
            <w:tcBorders>
              <w:top w:val="single" w:color="000000" w:sz="4" w:space="0"/>
              <w:left w:val="single" w:color="000000" w:sz="4" w:space="0"/>
              <w:bottom w:val="single" w:color="000000" w:sz="4" w:space="0"/>
              <w:right w:val="single" w:color="000000" w:sz="4" w:space="0"/>
            </w:tcBorders>
            <w:shd w:val="clear" w:color="auto" w:fill="auto"/>
            <w:noWrap/>
            <w:textDirection w:val="tbRlV"/>
            <w:vAlign w:val="center"/>
          </w:tcPr>
          <w:p>
            <w:pPr>
              <w:rPr>
                <w:rFonts w:hint="eastAsia" w:ascii="宋体" w:hAnsi="宋体" w:eastAsia="宋体" w:cs="宋体"/>
                <w:i w:val="0"/>
                <w:iCs w:val="0"/>
                <w:color w:val="000000"/>
                <w:sz w:val="22"/>
                <w:szCs w:val="22"/>
                <w:u w:val="none"/>
              </w:rPr>
            </w:pPr>
          </w:p>
        </w:tc>
        <w:tc>
          <w:tcPr>
            <w:tcW w:w="4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21</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省直机关党校</w:t>
            </w:r>
          </w:p>
        </w:tc>
        <w:tc>
          <w:tcPr>
            <w:tcW w:w="28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新时代四川乡村振兴的理论与实践系列成果：</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成果1： 农文旅融合推动四川乡村振兴的路径研究  研究报告（SC22TJ11）</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成果2：乡村振兴战略下促进四川农民农村共同富裕对策研究  研究报告（2023JDR0124）</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成果3：四川农业现代化发展路径的思考——对四川生态农业发展促进会及生态农业发展情况的调研（论文）</w:t>
            </w:r>
          </w:p>
        </w:tc>
        <w:tc>
          <w:tcPr>
            <w:tcW w:w="8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研究报告</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王小茵、刘军、喻春森、边作为、晋  超</w:t>
            </w:r>
          </w:p>
        </w:tc>
        <w:tc>
          <w:tcPr>
            <w:tcW w:w="15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2024年四川省哲学社会科学规划项目</w:t>
            </w:r>
          </w:p>
        </w:tc>
        <w:tc>
          <w:tcPr>
            <w:tcW w:w="9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61" w:hRule="atLeast"/>
        </w:trPr>
        <w:tc>
          <w:tcPr>
            <w:tcW w:w="475" w:type="dxa"/>
            <w:vMerge w:val="continue"/>
            <w:tcBorders>
              <w:top w:val="single" w:color="000000" w:sz="4" w:space="0"/>
              <w:left w:val="single" w:color="000000" w:sz="4" w:space="0"/>
              <w:bottom w:val="single" w:color="000000" w:sz="4" w:space="0"/>
              <w:right w:val="single" w:color="000000" w:sz="4" w:space="0"/>
            </w:tcBorders>
            <w:shd w:val="clear" w:color="auto" w:fill="auto"/>
            <w:noWrap/>
            <w:textDirection w:val="tbRlV"/>
            <w:vAlign w:val="center"/>
          </w:tcPr>
          <w:p>
            <w:pPr>
              <w:rPr>
                <w:rFonts w:hint="eastAsia" w:ascii="宋体" w:hAnsi="宋体" w:eastAsia="宋体" w:cs="宋体"/>
                <w:i w:val="0"/>
                <w:iCs w:val="0"/>
                <w:color w:val="000000"/>
                <w:sz w:val="22"/>
                <w:szCs w:val="22"/>
                <w:u w:val="none"/>
              </w:rPr>
            </w:pPr>
          </w:p>
        </w:tc>
        <w:tc>
          <w:tcPr>
            <w:tcW w:w="4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22</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成都市都江堰市委党校</w:t>
            </w:r>
          </w:p>
        </w:tc>
        <w:tc>
          <w:tcPr>
            <w:tcW w:w="28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成渝西部片区“国家城乡融合试验区”要素流动困境对策研究——基于成渝17个试点区（县）实证调查</w:t>
            </w:r>
          </w:p>
        </w:tc>
        <w:tc>
          <w:tcPr>
            <w:tcW w:w="8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研究报告</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邓  蓉</w:t>
            </w:r>
          </w:p>
        </w:tc>
        <w:tc>
          <w:tcPr>
            <w:tcW w:w="15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全省党校系统调研项目结项优秀</w:t>
            </w:r>
          </w:p>
        </w:tc>
        <w:tc>
          <w:tcPr>
            <w:tcW w:w="9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39" w:hRule="atLeast"/>
        </w:trPr>
        <w:tc>
          <w:tcPr>
            <w:tcW w:w="475" w:type="dxa"/>
            <w:vMerge w:val="continue"/>
            <w:tcBorders>
              <w:top w:val="single" w:color="000000" w:sz="4" w:space="0"/>
              <w:left w:val="single" w:color="000000" w:sz="4" w:space="0"/>
              <w:bottom w:val="single" w:color="000000" w:sz="4" w:space="0"/>
              <w:right w:val="single" w:color="000000" w:sz="4" w:space="0"/>
            </w:tcBorders>
            <w:shd w:val="clear" w:color="auto" w:fill="auto"/>
            <w:noWrap/>
            <w:textDirection w:val="tbRlV"/>
            <w:vAlign w:val="center"/>
          </w:tcPr>
          <w:p>
            <w:pPr>
              <w:rPr>
                <w:rFonts w:hint="eastAsia" w:ascii="宋体" w:hAnsi="宋体" w:eastAsia="宋体" w:cs="宋体"/>
                <w:i w:val="0"/>
                <w:iCs w:val="0"/>
                <w:color w:val="000000"/>
                <w:sz w:val="22"/>
                <w:szCs w:val="22"/>
                <w:u w:val="none"/>
              </w:rPr>
            </w:pPr>
          </w:p>
        </w:tc>
        <w:tc>
          <w:tcPr>
            <w:tcW w:w="4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23</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绵阳市委党校</w:t>
            </w:r>
          </w:p>
        </w:tc>
        <w:tc>
          <w:tcPr>
            <w:tcW w:w="28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绵阳市推进科技创新和科技成果转化的实践路径研究</w:t>
            </w:r>
          </w:p>
        </w:tc>
        <w:tc>
          <w:tcPr>
            <w:tcW w:w="8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研究报告</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何华君、敬行伟、李慧、李思卓、李四梦</w:t>
            </w:r>
          </w:p>
        </w:tc>
        <w:tc>
          <w:tcPr>
            <w:tcW w:w="15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全省党校系统重大研究市州项目</w:t>
            </w:r>
          </w:p>
        </w:tc>
        <w:tc>
          <w:tcPr>
            <w:tcW w:w="9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39" w:hRule="atLeast"/>
        </w:trPr>
        <w:tc>
          <w:tcPr>
            <w:tcW w:w="475" w:type="dxa"/>
            <w:vMerge w:val="continue"/>
            <w:tcBorders>
              <w:top w:val="single" w:color="000000" w:sz="4" w:space="0"/>
              <w:left w:val="single" w:color="000000" w:sz="4" w:space="0"/>
              <w:bottom w:val="single" w:color="000000" w:sz="4" w:space="0"/>
              <w:right w:val="single" w:color="000000" w:sz="4" w:space="0"/>
            </w:tcBorders>
            <w:shd w:val="clear" w:color="auto" w:fill="auto"/>
            <w:noWrap/>
            <w:textDirection w:val="tbRlV"/>
            <w:vAlign w:val="center"/>
          </w:tcPr>
          <w:p>
            <w:pPr>
              <w:rPr>
                <w:rFonts w:hint="eastAsia" w:ascii="宋体" w:hAnsi="宋体" w:eastAsia="宋体" w:cs="宋体"/>
                <w:i w:val="0"/>
                <w:iCs w:val="0"/>
                <w:color w:val="000000"/>
                <w:sz w:val="22"/>
                <w:szCs w:val="22"/>
                <w:u w:val="none"/>
              </w:rPr>
            </w:pPr>
          </w:p>
        </w:tc>
        <w:tc>
          <w:tcPr>
            <w:tcW w:w="4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24</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乐山市委党校</w:t>
            </w:r>
          </w:p>
        </w:tc>
        <w:tc>
          <w:tcPr>
            <w:tcW w:w="28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乐山建设世界研学旅游高地的调查与思考</w:t>
            </w:r>
          </w:p>
        </w:tc>
        <w:tc>
          <w:tcPr>
            <w:tcW w:w="8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学术论文</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康璇</w:t>
            </w:r>
          </w:p>
        </w:tc>
        <w:tc>
          <w:tcPr>
            <w:tcW w:w="15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《经济研究导刊》</w:t>
            </w:r>
          </w:p>
        </w:tc>
        <w:tc>
          <w:tcPr>
            <w:tcW w:w="9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14" w:hRule="atLeast"/>
        </w:trPr>
        <w:tc>
          <w:tcPr>
            <w:tcW w:w="475" w:type="dxa"/>
            <w:vMerge w:val="continue"/>
            <w:tcBorders>
              <w:top w:val="single" w:color="000000" w:sz="4" w:space="0"/>
              <w:left w:val="single" w:color="000000" w:sz="4" w:space="0"/>
              <w:bottom w:val="single" w:color="000000" w:sz="4" w:space="0"/>
              <w:right w:val="single" w:color="000000" w:sz="4" w:space="0"/>
            </w:tcBorders>
            <w:shd w:val="clear" w:color="auto" w:fill="auto"/>
            <w:noWrap/>
            <w:textDirection w:val="tbRlV"/>
            <w:vAlign w:val="center"/>
          </w:tcPr>
          <w:p>
            <w:pPr>
              <w:rPr>
                <w:rFonts w:hint="eastAsia" w:ascii="宋体" w:hAnsi="宋体" w:eastAsia="宋体" w:cs="宋体"/>
                <w:i w:val="0"/>
                <w:iCs w:val="0"/>
                <w:color w:val="000000"/>
                <w:sz w:val="22"/>
                <w:szCs w:val="22"/>
                <w:u w:val="none"/>
              </w:rPr>
            </w:pPr>
          </w:p>
        </w:tc>
        <w:tc>
          <w:tcPr>
            <w:tcW w:w="4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25</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宜宾市江安县委党校</w:t>
            </w:r>
          </w:p>
        </w:tc>
        <w:tc>
          <w:tcPr>
            <w:tcW w:w="28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江安经开区西部锂电材料制造基地建设与三江新区协同发展研究</w:t>
            </w:r>
          </w:p>
        </w:tc>
        <w:tc>
          <w:tcPr>
            <w:tcW w:w="8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学术论文</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宋开健</w:t>
            </w:r>
          </w:p>
        </w:tc>
        <w:tc>
          <w:tcPr>
            <w:tcW w:w="15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《四川行政学院学报》</w:t>
            </w:r>
          </w:p>
        </w:tc>
        <w:tc>
          <w:tcPr>
            <w:tcW w:w="9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39" w:hRule="atLeast"/>
        </w:trPr>
        <w:tc>
          <w:tcPr>
            <w:tcW w:w="475" w:type="dxa"/>
            <w:vMerge w:val="continue"/>
            <w:tcBorders>
              <w:top w:val="single" w:color="000000" w:sz="4" w:space="0"/>
              <w:left w:val="single" w:color="000000" w:sz="4" w:space="0"/>
              <w:bottom w:val="single" w:color="000000" w:sz="4" w:space="0"/>
              <w:right w:val="single" w:color="000000" w:sz="4" w:space="0"/>
            </w:tcBorders>
            <w:shd w:val="clear" w:color="auto" w:fill="auto"/>
            <w:noWrap/>
            <w:textDirection w:val="tbRlV"/>
            <w:vAlign w:val="center"/>
          </w:tcPr>
          <w:p>
            <w:pPr>
              <w:rPr>
                <w:rFonts w:hint="eastAsia" w:ascii="宋体" w:hAnsi="宋体" w:eastAsia="宋体" w:cs="宋体"/>
                <w:i w:val="0"/>
                <w:iCs w:val="0"/>
                <w:color w:val="000000"/>
                <w:sz w:val="22"/>
                <w:szCs w:val="22"/>
                <w:u w:val="none"/>
              </w:rPr>
            </w:pPr>
          </w:p>
        </w:tc>
        <w:tc>
          <w:tcPr>
            <w:tcW w:w="4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26</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达州市开江县委党校</w:t>
            </w:r>
          </w:p>
        </w:tc>
        <w:tc>
          <w:tcPr>
            <w:tcW w:w="28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从三中全会看新时代改革开放</w:t>
            </w:r>
          </w:p>
        </w:tc>
        <w:tc>
          <w:tcPr>
            <w:tcW w:w="8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学术论文</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杨海英</w:t>
            </w:r>
          </w:p>
        </w:tc>
        <w:tc>
          <w:tcPr>
            <w:tcW w:w="15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《达州日报》2024年10月18日第10期</w:t>
            </w:r>
          </w:p>
        </w:tc>
        <w:tc>
          <w:tcPr>
            <w:tcW w:w="9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39" w:hRule="atLeast"/>
        </w:trPr>
        <w:tc>
          <w:tcPr>
            <w:tcW w:w="475" w:type="dxa"/>
            <w:vMerge w:val="continue"/>
            <w:tcBorders>
              <w:top w:val="single" w:color="000000" w:sz="4" w:space="0"/>
              <w:left w:val="single" w:color="000000" w:sz="4" w:space="0"/>
              <w:bottom w:val="single" w:color="000000" w:sz="4" w:space="0"/>
              <w:right w:val="single" w:color="000000" w:sz="4" w:space="0"/>
            </w:tcBorders>
            <w:shd w:val="clear" w:color="auto" w:fill="auto"/>
            <w:noWrap/>
            <w:textDirection w:val="tbRlV"/>
            <w:vAlign w:val="center"/>
          </w:tcPr>
          <w:p>
            <w:pPr>
              <w:rPr>
                <w:rFonts w:hint="eastAsia" w:ascii="宋体" w:hAnsi="宋体" w:eastAsia="宋体" w:cs="宋体"/>
                <w:i w:val="0"/>
                <w:iCs w:val="0"/>
                <w:color w:val="000000"/>
                <w:sz w:val="22"/>
                <w:szCs w:val="22"/>
                <w:u w:val="none"/>
              </w:rPr>
            </w:pPr>
          </w:p>
        </w:tc>
        <w:tc>
          <w:tcPr>
            <w:tcW w:w="4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27</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巴中市恩阳区委党校</w:t>
            </w:r>
          </w:p>
        </w:tc>
        <w:tc>
          <w:tcPr>
            <w:tcW w:w="28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恩阳古镇文旅数字转型实践研究</w:t>
            </w:r>
          </w:p>
        </w:tc>
        <w:tc>
          <w:tcPr>
            <w:tcW w:w="8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研究报告</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孙凤敏</w:t>
            </w:r>
          </w:p>
        </w:tc>
        <w:tc>
          <w:tcPr>
            <w:tcW w:w="15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全省党校系统调研项目结项优秀</w:t>
            </w:r>
          </w:p>
        </w:tc>
        <w:tc>
          <w:tcPr>
            <w:tcW w:w="9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39" w:hRule="atLeast"/>
        </w:trPr>
        <w:tc>
          <w:tcPr>
            <w:tcW w:w="475" w:type="dxa"/>
            <w:vMerge w:val="continue"/>
            <w:tcBorders>
              <w:top w:val="single" w:color="000000" w:sz="4" w:space="0"/>
              <w:left w:val="single" w:color="000000" w:sz="4" w:space="0"/>
              <w:bottom w:val="single" w:color="000000" w:sz="4" w:space="0"/>
              <w:right w:val="single" w:color="000000" w:sz="4" w:space="0"/>
            </w:tcBorders>
            <w:shd w:val="clear" w:color="auto" w:fill="auto"/>
            <w:noWrap/>
            <w:textDirection w:val="tbRlV"/>
            <w:vAlign w:val="center"/>
          </w:tcPr>
          <w:p>
            <w:pPr>
              <w:rPr>
                <w:rFonts w:hint="eastAsia" w:ascii="宋体" w:hAnsi="宋体" w:eastAsia="宋体" w:cs="宋体"/>
                <w:i w:val="0"/>
                <w:iCs w:val="0"/>
                <w:color w:val="000000"/>
                <w:sz w:val="22"/>
                <w:szCs w:val="22"/>
                <w:u w:val="none"/>
              </w:rPr>
            </w:pPr>
          </w:p>
        </w:tc>
        <w:tc>
          <w:tcPr>
            <w:tcW w:w="4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28</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中国铁路成都局集团有限公司党校</w:t>
            </w:r>
          </w:p>
        </w:tc>
        <w:tc>
          <w:tcPr>
            <w:tcW w:w="28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成渝地区双城经济圈建设背景下铁路TOD发展实践与思考</w:t>
            </w:r>
          </w:p>
        </w:tc>
        <w:tc>
          <w:tcPr>
            <w:tcW w:w="8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学术论文</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魏晓萌</w:t>
            </w:r>
          </w:p>
        </w:tc>
        <w:tc>
          <w:tcPr>
            <w:tcW w:w="15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《交通企业管理》</w:t>
            </w:r>
          </w:p>
        </w:tc>
        <w:tc>
          <w:tcPr>
            <w:tcW w:w="9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39" w:hRule="atLeast"/>
        </w:trPr>
        <w:tc>
          <w:tcPr>
            <w:tcW w:w="475" w:type="dxa"/>
            <w:vMerge w:val="continue"/>
            <w:tcBorders>
              <w:top w:val="single" w:color="000000" w:sz="4" w:space="0"/>
              <w:left w:val="single" w:color="000000" w:sz="4" w:space="0"/>
              <w:bottom w:val="single" w:color="000000" w:sz="4" w:space="0"/>
              <w:right w:val="single" w:color="000000" w:sz="4" w:space="0"/>
            </w:tcBorders>
            <w:shd w:val="clear" w:color="auto" w:fill="auto"/>
            <w:noWrap/>
            <w:textDirection w:val="tbRlV"/>
            <w:vAlign w:val="center"/>
          </w:tcPr>
          <w:p>
            <w:pPr>
              <w:rPr>
                <w:rFonts w:hint="eastAsia" w:ascii="宋体" w:hAnsi="宋体" w:eastAsia="宋体" w:cs="宋体"/>
                <w:i w:val="0"/>
                <w:iCs w:val="0"/>
                <w:color w:val="000000"/>
                <w:sz w:val="22"/>
                <w:szCs w:val="22"/>
                <w:u w:val="none"/>
              </w:rPr>
            </w:pPr>
          </w:p>
        </w:tc>
        <w:tc>
          <w:tcPr>
            <w:tcW w:w="4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29</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省直机关党校</w:t>
            </w:r>
          </w:p>
        </w:tc>
        <w:tc>
          <w:tcPr>
            <w:tcW w:w="28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主流媒体移动端新闻标题的情感表达路径</w:t>
            </w:r>
          </w:p>
        </w:tc>
        <w:tc>
          <w:tcPr>
            <w:tcW w:w="8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学术论文</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蒋颖</w:t>
            </w:r>
          </w:p>
        </w:tc>
        <w:tc>
          <w:tcPr>
            <w:tcW w:w="15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《新闻与写作》</w:t>
            </w:r>
          </w:p>
        </w:tc>
        <w:tc>
          <w:tcPr>
            <w:tcW w:w="9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14" w:hRule="atLeast"/>
        </w:trPr>
        <w:tc>
          <w:tcPr>
            <w:tcW w:w="475" w:type="dxa"/>
            <w:vMerge w:val="continue"/>
            <w:tcBorders>
              <w:top w:val="single" w:color="000000" w:sz="4" w:space="0"/>
              <w:left w:val="single" w:color="000000" w:sz="4" w:space="0"/>
              <w:bottom w:val="single" w:color="000000" w:sz="4" w:space="0"/>
              <w:right w:val="single" w:color="000000" w:sz="4" w:space="0"/>
            </w:tcBorders>
            <w:shd w:val="clear" w:color="auto" w:fill="auto"/>
            <w:noWrap/>
            <w:textDirection w:val="tbRlV"/>
            <w:vAlign w:val="center"/>
          </w:tcPr>
          <w:p>
            <w:pPr>
              <w:rPr>
                <w:rFonts w:hint="eastAsia" w:ascii="宋体" w:hAnsi="宋体" w:eastAsia="宋体" w:cs="宋体"/>
                <w:i w:val="0"/>
                <w:iCs w:val="0"/>
                <w:color w:val="000000"/>
                <w:sz w:val="22"/>
                <w:szCs w:val="22"/>
                <w:u w:val="none"/>
              </w:rPr>
            </w:pPr>
          </w:p>
        </w:tc>
        <w:tc>
          <w:tcPr>
            <w:tcW w:w="4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30</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成都市彭州市委党校</w:t>
            </w:r>
          </w:p>
        </w:tc>
        <w:tc>
          <w:tcPr>
            <w:tcW w:w="28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弘扬中华优秀传统文化 创新干部培养新路径</w:t>
            </w:r>
          </w:p>
        </w:tc>
        <w:tc>
          <w:tcPr>
            <w:tcW w:w="8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学术论文</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邓彩莲</w:t>
            </w:r>
          </w:p>
        </w:tc>
        <w:tc>
          <w:tcPr>
            <w:tcW w:w="15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《光明日报 》</w:t>
            </w:r>
          </w:p>
        </w:tc>
        <w:tc>
          <w:tcPr>
            <w:tcW w:w="9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14" w:hRule="atLeast"/>
        </w:trPr>
        <w:tc>
          <w:tcPr>
            <w:tcW w:w="475" w:type="dxa"/>
            <w:vMerge w:val="continue"/>
            <w:tcBorders>
              <w:top w:val="single" w:color="000000" w:sz="4" w:space="0"/>
              <w:left w:val="single" w:color="000000" w:sz="4" w:space="0"/>
              <w:bottom w:val="single" w:color="000000" w:sz="4" w:space="0"/>
              <w:right w:val="single" w:color="000000" w:sz="4" w:space="0"/>
            </w:tcBorders>
            <w:shd w:val="clear" w:color="auto" w:fill="auto"/>
            <w:noWrap/>
            <w:textDirection w:val="tbRlV"/>
            <w:vAlign w:val="center"/>
          </w:tcPr>
          <w:p>
            <w:pPr>
              <w:rPr>
                <w:rFonts w:hint="eastAsia" w:ascii="宋体" w:hAnsi="宋体" w:eastAsia="宋体" w:cs="宋体"/>
                <w:i w:val="0"/>
                <w:iCs w:val="0"/>
                <w:color w:val="000000"/>
                <w:sz w:val="22"/>
                <w:szCs w:val="22"/>
                <w:u w:val="none"/>
              </w:rPr>
            </w:pPr>
          </w:p>
        </w:tc>
        <w:tc>
          <w:tcPr>
            <w:tcW w:w="4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31</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攀枝花市委党校</w:t>
            </w:r>
          </w:p>
        </w:tc>
        <w:tc>
          <w:tcPr>
            <w:tcW w:w="28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元宇宙视域下图书馆数字阅读推广</w:t>
            </w:r>
          </w:p>
        </w:tc>
        <w:tc>
          <w:tcPr>
            <w:tcW w:w="8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学术专著</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杨曦宇</w:t>
            </w:r>
          </w:p>
        </w:tc>
        <w:tc>
          <w:tcPr>
            <w:tcW w:w="15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中国农影音像出版社</w:t>
            </w:r>
          </w:p>
        </w:tc>
        <w:tc>
          <w:tcPr>
            <w:tcW w:w="9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14" w:hRule="atLeast"/>
        </w:trPr>
        <w:tc>
          <w:tcPr>
            <w:tcW w:w="475" w:type="dxa"/>
            <w:vMerge w:val="continue"/>
            <w:tcBorders>
              <w:top w:val="single" w:color="000000" w:sz="4" w:space="0"/>
              <w:left w:val="single" w:color="000000" w:sz="4" w:space="0"/>
              <w:bottom w:val="single" w:color="000000" w:sz="4" w:space="0"/>
              <w:right w:val="single" w:color="000000" w:sz="4" w:space="0"/>
            </w:tcBorders>
            <w:shd w:val="clear" w:color="auto" w:fill="auto"/>
            <w:noWrap/>
            <w:textDirection w:val="tbRlV"/>
            <w:vAlign w:val="center"/>
          </w:tcPr>
          <w:p>
            <w:pPr>
              <w:rPr>
                <w:rFonts w:hint="eastAsia" w:ascii="宋体" w:hAnsi="宋体" w:eastAsia="宋体" w:cs="宋体"/>
                <w:i w:val="0"/>
                <w:iCs w:val="0"/>
                <w:color w:val="000000"/>
                <w:sz w:val="22"/>
                <w:szCs w:val="22"/>
                <w:u w:val="none"/>
              </w:rPr>
            </w:pPr>
          </w:p>
        </w:tc>
        <w:tc>
          <w:tcPr>
            <w:tcW w:w="4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32</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德阳市委党校</w:t>
            </w:r>
          </w:p>
        </w:tc>
        <w:tc>
          <w:tcPr>
            <w:tcW w:w="28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中国式现代化：德阳发展战略及路径</w:t>
            </w:r>
          </w:p>
        </w:tc>
        <w:tc>
          <w:tcPr>
            <w:tcW w:w="8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学术专著</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集体</w:t>
            </w:r>
          </w:p>
        </w:tc>
        <w:tc>
          <w:tcPr>
            <w:tcW w:w="15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西南财经大学出版社</w:t>
            </w:r>
          </w:p>
        </w:tc>
        <w:tc>
          <w:tcPr>
            <w:tcW w:w="9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14" w:hRule="atLeast"/>
        </w:trPr>
        <w:tc>
          <w:tcPr>
            <w:tcW w:w="475" w:type="dxa"/>
            <w:vMerge w:val="continue"/>
            <w:tcBorders>
              <w:top w:val="single" w:color="000000" w:sz="4" w:space="0"/>
              <w:left w:val="single" w:color="000000" w:sz="4" w:space="0"/>
              <w:bottom w:val="single" w:color="000000" w:sz="4" w:space="0"/>
              <w:right w:val="single" w:color="000000" w:sz="4" w:space="0"/>
            </w:tcBorders>
            <w:shd w:val="clear" w:color="auto" w:fill="auto"/>
            <w:noWrap/>
            <w:textDirection w:val="tbRlV"/>
            <w:vAlign w:val="center"/>
          </w:tcPr>
          <w:p>
            <w:pPr>
              <w:rPr>
                <w:rFonts w:hint="eastAsia" w:ascii="宋体" w:hAnsi="宋体" w:eastAsia="宋体" w:cs="宋体"/>
                <w:i w:val="0"/>
                <w:iCs w:val="0"/>
                <w:color w:val="000000"/>
                <w:sz w:val="22"/>
                <w:szCs w:val="22"/>
                <w:u w:val="none"/>
              </w:rPr>
            </w:pPr>
          </w:p>
        </w:tc>
        <w:tc>
          <w:tcPr>
            <w:tcW w:w="4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33</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绵阳市委党校</w:t>
            </w:r>
          </w:p>
        </w:tc>
        <w:tc>
          <w:tcPr>
            <w:tcW w:w="28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中国（绵阳）科技城交叉融合发展新质生产力的实践路径研究</w:t>
            </w:r>
          </w:p>
        </w:tc>
        <w:tc>
          <w:tcPr>
            <w:tcW w:w="8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研究报告</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李思卓、王仕军、林劲松、马丹丹、罗玲</w:t>
            </w:r>
          </w:p>
        </w:tc>
        <w:tc>
          <w:tcPr>
            <w:tcW w:w="15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市州重大委托项目</w:t>
            </w:r>
          </w:p>
        </w:tc>
        <w:tc>
          <w:tcPr>
            <w:tcW w:w="9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39" w:hRule="atLeast"/>
        </w:trPr>
        <w:tc>
          <w:tcPr>
            <w:tcW w:w="475" w:type="dxa"/>
            <w:vMerge w:val="continue"/>
            <w:tcBorders>
              <w:top w:val="single" w:color="000000" w:sz="4" w:space="0"/>
              <w:left w:val="single" w:color="000000" w:sz="4" w:space="0"/>
              <w:bottom w:val="single" w:color="000000" w:sz="4" w:space="0"/>
              <w:right w:val="single" w:color="000000" w:sz="4" w:space="0"/>
            </w:tcBorders>
            <w:shd w:val="clear" w:color="auto" w:fill="auto"/>
            <w:noWrap/>
            <w:textDirection w:val="tbRlV"/>
            <w:vAlign w:val="center"/>
          </w:tcPr>
          <w:p>
            <w:pPr>
              <w:rPr>
                <w:rFonts w:hint="eastAsia" w:ascii="宋体" w:hAnsi="宋体" w:eastAsia="宋体" w:cs="宋体"/>
                <w:i w:val="0"/>
                <w:iCs w:val="0"/>
                <w:color w:val="000000"/>
                <w:sz w:val="22"/>
                <w:szCs w:val="22"/>
                <w:u w:val="none"/>
              </w:rPr>
            </w:pPr>
          </w:p>
        </w:tc>
        <w:tc>
          <w:tcPr>
            <w:tcW w:w="4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34</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乐山市井研县委党校</w:t>
            </w:r>
          </w:p>
        </w:tc>
        <w:tc>
          <w:tcPr>
            <w:tcW w:w="28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改革开放以来关于基层治理重要论述的理论与实践逻辑</w:t>
            </w:r>
          </w:p>
        </w:tc>
        <w:tc>
          <w:tcPr>
            <w:tcW w:w="8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学术论文</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李兰英</w:t>
            </w:r>
          </w:p>
        </w:tc>
        <w:tc>
          <w:tcPr>
            <w:tcW w:w="15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《中共乐山市委党校学报》</w:t>
            </w:r>
          </w:p>
        </w:tc>
        <w:tc>
          <w:tcPr>
            <w:tcW w:w="9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39" w:hRule="atLeast"/>
        </w:trPr>
        <w:tc>
          <w:tcPr>
            <w:tcW w:w="475" w:type="dxa"/>
            <w:vMerge w:val="continue"/>
            <w:tcBorders>
              <w:top w:val="single" w:color="000000" w:sz="4" w:space="0"/>
              <w:left w:val="single" w:color="000000" w:sz="4" w:space="0"/>
              <w:bottom w:val="single" w:color="000000" w:sz="4" w:space="0"/>
              <w:right w:val="single" w:color="000000" w:sz="4" w:space="0"/>
            </w:tcBorders>
            <w:shd w:val="clear" w:color="auto" w:fill="auto"/>
            <w:noWrap/>
            <w:textDirection w:val="tbRlV"/>
            <w:vAlign w:val="center"/>
          </w:tcPr>
          <w:p>
            <w:pPr>
              <w:rPr>
                <w:rFonts w:hint="eastAsia" w:ascii="宋体" w:hAnsi="宋体" w:eastAsia="宋体" w:cs="宋体"/>
                <w:i w:val="0"/>
                <w:iCs w:val="0"/>
                <w:color w:val="000000"/>
                <w:sz w:val="22"/>
                <w:szCs w:val="22"/>
                <w:u w:val="none"/>
              </w:rPr>
            </w:pPr>
          </w:p>
        </w:tc>
        <w:tc>
          <w:tcPr>
            <w:tcW w:w="4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35</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宜宾市委党校</w:t>
            </w:r>
          </w:p>
        </w:tc>
        <w:tc>
          <w:tcPr>
            <w:tcW w:w="28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“数智化”提高城市基础设施运行效率研究——以宜宾市智慧停车平台为例</w:t>
            </w:r>
          </w:p>
        </w:tc>
        <w:tc>
          <w:tcPr>
            <w:tcW w:w="8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学术论文</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张菁</w:t>
            </w:r>
          </w:p>
        </w:tc>
        <w:tc>
          <w:tcPr>
            <w:tcW w:w="15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《江南论坛》</w:t>
            </w:r>
          </w:p>
        </w:tc>
        <w:tc>
          <w:tcPr>
            <w:tcW w:w="9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39" w:hRule="atLeast"/>
        </w:trPr>
        <w:tc>
          <w:tcPr>
            <w:tcW w:w="475" w:type="dxa"/>
            <w:vMerge w:val="continue"/>
            <w:tcBorders>
              <w:top w:val="single" w:color="000000" w:sz="4" w:space="0"/>
              <w:left w:val="single" w:color="000000" w:sz="4" w:space="0"/>
              <w:bottom w:val="single" w:color="000000" w:sz="4" w:space="0"/>
              <w:right w:val="single" w:color="000000" w:sz="4" w:space="0"/>
            </w:tcBorders>
            <w:shd w:val="clear" w:color="auto" w:fill="auto"/>
            <w:noWrap/>
            <w:textDirection w:val="tbRlV"/>
            <w:vAlign w:val="center"/>
          </w:tcPr>
          <w:p>
            <w:pPr>
              <w:rPr>
                <w:rFonts w:hint="eastAsia" w:ascii="宋体" w:hAnsi="宋体" w:eastAsia="宋体" w:cs="宋体"/>
                <w:i w:val="0"/>
                <w:iCs w:val="0"/>
                <w:color w:val="000000"/>
                <w:sz w:val="22"/>
                <w:szCs w:val="22"/>
                <w:u w:val="none"/>
              </w:rPr>
            </w:pPr>
          </w:p>
        </w:tc>
        <w:tc>
          <w:tcPr>
            <w:tcW w:w="4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36</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广安市委党校</w:t>
            </w:r>
          </w:p>
        </w:tc>
        <w:tc>
          <w:tcPr>
            <w:tcW w:w="28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邓小平“三落三起”的人格风范及现实启示</w:t>
            </w:r>
          </w:p>
        </w:tc>
        <w:tc>
          <w:tcPr>
            <w:tcW w:w="8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学术论文</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邓璨</w:t>
            </w:r>
          </w:p>
        </w:tc>
        <w:tc>
          <w:tcPr>
            <w:tcW w:w="15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《邓小平研究》</w:t>
            </w:r>
          </w:p>
        </w:tc>
        <w:tc>
          <w:tcPr>
            <w:tcW w:w="9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14" w:hRule="atLeast"/>
        </w:trPr>
        <w:tc>
          <w:tcPr>
            <w:tcW w:w="475" w:type="dxa"/>
            <w:vMerge w:val="continue"/>
            <w:tcBorders>
              <w:top w:val="single" w:color="000000" w:sz="4" w:space="0"/>
              <w:left w:val="single" w:color="000000" w:sz="4" w:space="0"/>
              <w:bottom w:val="single" w:color="000000" w:sz="4" w:space="0"/>
              <w:right w:val="single" w:color="000000" w:sz="4" w:space="0"/>
            </w:tcBorders>
            <w:shd w:val="clear" w:color="auto" w:fill="auto"/>
            <w:noWrap/>
            <w:textDirection w:val="tbRlV"/>
            <w:vAlign w:val="center"/>
          </w:tcPr>
          <w:p>
            <w:pPr>
              <w:rPr>
                <w:rFonts w:hint="eastAsia" w:ascii="宋体" w:hAnsi="宋体" w:eastAsia="宋体" w:cs="宋体"/>
                <w:i w:val="0"/>
                <w:iCs w:val="0"/>
                <w:color w:val="000000"/>
                <w:sz w:val="22"/>
                <w:szCs w:val="22"/>
                <w:u w:val="none"/>
              </w:rPr>
            </w:pPr>
          </w:p>
        </w:tc>
        <w:tc>
          <w:tcPr>
            <w:tcW w:w="4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37</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广安市岳池县委党校</w:t>
            </w:r>
          </w:p>
        </w:tc>
        <w:tc>
          <w:tcPr>
            <w:tcW w:w="28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岳池县农村闲置撂荒土地盘活利用调查研究</w:t>
            </w:r>
          </w:p>
        </w:tc>
        <w:tc>
          <w:tcPr>
            <w:tcW w:w="8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研究报告</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张小丽</w:t>
            </w:r>
          </w:p>
        </w:tc>
        <w:tc>
          <w:tcPr>
            <w:tcW w:w="15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全省党校系统调研项目结项优秀</w:t>
            </w:r>
          </w:p>
        </w:tc>
        <w:tc>
          <w:tcPr>
            <w:tcW w:w="9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39" w:hRule="atLeast"/>
        </w:trPr>
        <w:tc>
          <w:tcPr>
            <w:tcW w:w="475" w:type="dxa"/>
            <w:vMerge w:val="continue"/>
            <w:tcBorders>
              <w:top w:val="single" w:color="000000" w:sz="4" w:space="0"/>
              <w:left w:val="single" w:color="000000" w:sz="4" w:space="0"/>
              <w:bottom w:val="single" w:color="000000" w:sz="4" w:space="0"/>
              <w:right w:val="single" w:color="000000" w:sz="4" w:space="0"/>
            </w:tcBorders>
            <w:shd w:val="clear" w:color="auto" w:fill="auto"/>
            <w:noWrap/>
            <w:textDirection w:val="tbRlV"/>
            <w:vAlign w:val="center"/>
          </w:tcPr>
          <w:p>
            <w:pPr>
              <w:rPr>
                <w:rFonts w:hint="eastAsia" w:ascii="宋体" w:hAnsi="宋体" w:eastAsia="宋体" w:cs="宋体"/>
                <w:i w:val="0"/>
                <w:iCs w:val="0"/>
                <w:color w:val="000000"/>
                <w:sz w:val="22"/>
                <w:szCs w:val="22"/>
                <w:u w:val="none"/>
              </w:rPr>
            </w:pPr>
          </w:p>
        </w:tc>
        <w:tc>
          <w:tcPr>
            <w:tcW w:w="4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38</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眉山市委党校</w:t>
            </w:r>
          </w:p>
        </w:tc>
        <w:tc>
          <w:tcPr>
            <w:tcW w:w="28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加快天府大道科创走廊眉山段建设的对策研究</w:t>
            </w:r>
          </w:p>
        </w:tc>
        <w:tc>
          <w:tcPr>
            <w:tcW w:w="8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学术论文</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罗曼、陈莉</w:t>
            </w:r>
          </w:p>
        </w:tc>
        <w:tc>
          <w:tcPr>
            <w:tcW w:w="15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《成都党校报》</w:t>
            </w:r>
          </w:p>
        </w:tc>
        <w:tc>
          <w:tcPr>
            <w:tcW w:w="9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14" w:hRule="atLeast"/>
        </w:trPr>
        <w:tc>
          <w:tcPr>
            <w:tcW w:w="475" w:type="dxa"/>
            <w:vMerge w:val="continue"/>
            <w:tcBorders>
              <w:top w:val="single" w:color="000000" w:sz="4" w:space="0"/>
              <w:left w:val="single" w:color="000000" w:sz="4" w:space="0"/>
              <w:bottom w:val="single" w:color="000000" w:sz="4" w:space="0"/>
              <w:right w:val="single" w:color="000000" w:sz="4" w:space="0"/>
            </w:tcBorders>
            <w:shd w:val="clear" w:color="auto" w:fill="auto"/>
            <w:noWrap/>
            <w:textDirection w:val="tbRlV"/>
            <w:vAlign w:val="center"/>
          </w:tcPr>
          <w:p>
            <w:pPr>
              <w:rPr>
                <w:rFonts w:hint="eastAsia" w:ascii="宋体" w:hAnsi="宋体" w:eastAsia="宋体" w:cs="宋体"/>
                <w:i w:val="0"/>
                <w:iCs w:val="0"/>
                <w:color w:val="000000"/>
                <w:sz w:val="22"/>
                <w:szCs w:val="22"/>
                <w:u w:val="none"/>
              </w:rPr>
            </w:pPr>
          </w:p>
        </w:tc>
        <w:tc>
          <w:tcPr>
            <w:tcW w:w="4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39</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凉山州委党校</w:t>
            </w:r>
          </w:p>
        </w:tc>
        <w:tc>
          <w:tcPr>
            <w:tcW w:w="28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双因素理论视角下凉山州帮扶干部激励机制研究</w:t>
            </w:r>
          </w:p>
        </w:tc>
        <w:tc>
          <w:tcPr>
            <w:tcW w:w="8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学术论文</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沙川淇</w:t>
            </w:r>
          </w:p>
        </w:tc>
        <w:tc>
          <w:tcPr>
            <w:tcW w:w="15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《四川农业科技》</w:t>
            </w:r>
          </w:p>
        </w:tc>
        <w:tc>
          <w:tcPr>
            <w:tcW w:w="9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14" w:hRule="atLeast"/>
        </w:trPr>
        <w:tc>
          <w:tcPr>
            <w:tcW w:w="475" w:type="dxa"/>
            <w:vMerge w:val="continue"/>
            <w:tcBorders>
              <w:top w:val="single" w:color="000000" w:sz="4" w:space="0"/>
              <w:left w:val="single" w:color="000000" w:sz="4" w:space="0"/>
              <w:bottom w:val="single" w:color="auto" w:sz="4" w:space="0"/>
              <w:right w:val="single" w:color="000000" w:sz="4" w:space="0"/>
            </w:tcBorders>
            <w:shd w:val="clear" w:color="auto" w:fill="auto"/>
            <w:noWrap/>
            <w:textDirection w:val="tbRlV"/>
            <w:vAlign w:val="center"/>
          </w:tcPr>
          <w:p>
            <w:pPr>
              <w:rPr>
                <w:rFonts w:hint="eastAsia" w:ascii="宋体" w:hAnsi="宋体" w:eastAsia="宋体" w:cs="宋体"/>
                <w:i w:val="0"/>
                <w:iCs w:val="0"/>
                <w:color w:val="000000"/>
                <w:sz w:val="22"/>
                <w:szCs w:val="22"/>
                <w:u w:val="none"/>
              </w:rPr>
            </w:pPr>
          </w:p>
        </w:tc>
        <w:tc>
          <w:tcPr>
            <w:tcW w:w="4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40</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凉山州委党校</w:t>
            </w:r>
          </w:p>
        </w:tc>
        <w:tc>
          <w:tcPr>
            <w:tcW w:w="28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红色资源助力西昌文旅产业高质量发展</w:t>
            </w:r>
          </w:p>
        </w:tc>
        <w:tc>
          <w:tcPr>
            <w:tcW w:w="8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学术论文</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罗莹</w:t>
            </w:r>
          </w:p>
        </w:tc>
        <w:tc>
          <w:tcPr>
            <w:tcW w:w="15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《西昌学院学报》（社会科学版）</w:t>
            </w:r>
          </w:p>
        </w:tc>
        <w:tc>
          <w:tcPr>
            <w:tcW w:w="9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三等奖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39" w:hRule="atLeast"/>
        </w:trPr>
        <w:tc>
          <w:tcPr>
            <w:tcW w:w="475" w:type="dxa"/>
            <w:vMerge w:val="restart"/>
            <w:tcBorders>
              <w:top w:val="single" w:color="auto" w:sz="4" w:space="0"/>
              <w:left w:val="single" w:color="000000" w:sz="4" w:space="0"/>
              <w:right w:val="single" w:color="000000" w:sz="4" w:space="0"/>
            </w:tcBorders>
            <w:shd w:val="clear" w:color="auto" w:fill="auto"/>
            <w:noWrap/>
            <w:textDirection w:val="tbRlV"/>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案例</w:t>
            </w:r>
          </w:p>
        </w:tc>
        <w:tc>
          <w:tcPr>
            <w:tcW w:w="4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成都市委党校</w:t>
            </w:r>
          </w:p>
        </w:tc>
        <w:tc>
          <w:tcPr>
            <w:tcW w:w="28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公园城市——中国式现代化的成都故事</w:t>
            </w:r>
          </w:p>
        </w:tc>
        <w:tc>
          <w:tcPr>
            <w:tcW w:w="8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案例</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王胡林、唐璞妮、练忆茹、方贤洁、彭聪</w:t>
            </w:r>
          </w:p>
        </w:tc>
        <w:tc>
          <w:tcPr>
            <w:tcW w:w="15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国家行政学院出版社</w:t>
            </w:r>
          </w:p>
        </w:tc>
        <w:tc>
          <w:tcPr>
            <w:tcW w:w="9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好案例</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39" w:hRule="atLeast"/>
        </w:trPr>
        <w:tc>
          <w:tcPr>
            <w:tcW w:w="475" w:type="dxa"/>
            <w:vMerge w:val="continue"/>
            <w:tcBorders>
              <w:left w:val="single" w:color="000000" w:sz="4" w:space="0"/>
              <w:right w:val="single" w:color="000000" w:sz="4" w:space="0"/>
            </w:tcBorders>
            <w:shd w:val="clear" w:color="auto" w:fill="auto"/>
            <w:noWrap/>
            <w:textDirection w:val="tbRlV"/>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c>
          <w:tcPr>
            <w:tcW w:w="4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成都市委党校</w:t>
            </w:r>
          </w:p>
        </w:tc>
        <w:tc>
          <w:tcPr>
            <w:tcW w:w="28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人民城市的“连心桥”—成都12345热线研究</w:t>
            </w:r>
          </w:p>
        </w:tc>
        <w:tc>
          <w:tcPr>
            <w:tcW w:w="8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案例</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吴欣、王胡林、王苹</w:t>
            </w:r>
          </w:p>
        </w:tc>
        <w:tc>
          <w:tcPr>
            <w:tcW w:w="15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国家行政学院出版社</w:t>
            </w:r>
          </w:p>
        </w:tc>
        <w:tc>
          <w:tcPr>
            <w:tcW w:w="9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好案例</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14" w:hRule="atLeast"/>
        </w:trPr>
        <w:tc>
          <w:tcPr>
            <w:tcW w:w="475" w:type="dxa"/>
            <w:vMerge w:val="continue"/>
            <w:tcBorders>
              <w:left w:val="single" w:color="000000" w:sz="4" w:space="0"/>
              <w:right w:val="single" w:color="000000" w:sz="4" w:space="0"/>
            </w:tcBorders>
            <w:shd w:val="clear" w:color="auto" w:fill="auto"/>
            <w:noWrap/>
            <w:textDirection w:val="tbRlV"/>
            <w:vAlign w:val="center"/>
          </w:tcPr>
          <w:p>
            <w:pPr>
              <w:rPr>
                <w:rFonts w:hint="eastAsia" w:ascii="宋体" w:hAnsi="宋体" w:eastAsia="宋体" w:cs="宋体"/>
                <w:i w:val="0"/>
                <w:iCs w:val="0"/>
                <w:color w:val="000000"/>
                <w:sz w:val="22"/>
                <w:szCs w:val="22"/>
                <w:u w:val="none"/>
              </w:rPr>
            </w:pPr>
          </w:p>
        </w:tc>
        <w:tc>
          <w:tcPr>
            <w:tcW w:w="4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德阳市广汉市委党校</w:t>
            </w:r>
          </w:p>
        </w:tc>
        <w:tc>
          <w:tcPr>
            <w:tcW w:w="28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广汉市：以文旅产业融合发展促进乡村振兴</w:t>
            </w:r>
          </w:p>
        </w:tc>
        <w:tc>
          <w:tcPr>
            <w:tcW w:w="8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案例</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张剑南</w:t>
            </w:r>
          </w:p>
        </w:tc>
        <w:tc>
          <w:tcPr>
            <w:tcW w:w="1545"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i w:val="0"/>
                <w:iCs w:val="0"/>
                <w:color w:val="000000"/>
                <w:sz w:val="21"/>
                <w:szCs w:val="21"/>
                <w:u w:val="none"/>
              </w:rPr>
            </w:pPr>
          </w:p>
        </w:tc>
        <w:tc>
          <w:tcPr>
            <w:tcW w:w="9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好案例</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14" w:hRule="atLeast"/>
        </w:trPr>
        <w:tc>
          <w:tcPr>
            <w:tcW w:w="475" w:type="dxa"/>
            <w:vMerge w:val="continue"/>
            <w:tcBorders>
              <w:left w:val="single" w:color="000000" w:sz="4" w:space="0"/>
              <w:right w:val="single" w:color="000000" w:sz="4" w:space="0"/>
            </w:tcBorders>
            <w:shd w:val="clear" w:color="auto" w:fill="auto"/>
            <w:noWrap/>
            <w:textDirection w:val="tbRlV"/>
            <w:vAlign w:val="center"/>
          </w:tcPr>
          <w:p>
            <w:pPr>
              <w:rPr>
                <w:rFonts w:hint="eastAsia" w:ascii="宋体" w:hAnsi="宋体" w:eastAsia="宋体" w:cs="宋体"/>
                <w:i w:val="0"/>
                <w:iCs w:val="0"/>
                <w:color w:val="000000"/>
                <w:sz w:val="22"/>
                <w:szCs w:val="22"/>
                <w:u w:val="none"/>
              </w:rPr>
            </w:pPr>
          </w:p>
        </w:tc>
        <w:tc>
          <w:tcPr>
            <w:tcW w:w="4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4</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绵阳市平武县委党校</w:t>
            </w:r>
          </w:p>
        </w:tc>
        <w:tc>
          <w:tcPr>
            <w:tcW w:w="28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以人为本  平武“万名群众进城镇”助发展</w:t>
            </w:r>
          </w:p>
        </w:tc>
        <w:tc>
          <w:tcPr>
            <w:tcW w:w="8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案例</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何春兰</w:t>
            </w:r>
          </w:p>
        </w:tc>
        <w:tc>
          <w:tcPr>
            <w:tcW w:w="15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《当代县域经济》</w:t>
            </w:r>
          </w:p>
        </w:tc>
        <w:tc>
          <w:tcPr>
            <w:tcW w:w="9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好案例</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14" w:hRule="atLeast"/>
        </w:trPr>
        <w:tc>
          <w:tcPr>
            <w:tcW w:w="475" w:type="dxa"/>
            <w:vMerge w:val="continue"/>
            <w:tcBorders>
              <w:left w:val="single" w:color="000000" w:sz="4" w:space="0"/>
              <w:right w:val="single" w:color="000000" w:sz="4" w:space="0"/>
            </w:tcBorders>
            <w:shd w:val="clear" w:color="auto" w:fill="auto"/>
            <w:noWrap/>
            <w:textDirection w:val="tbRlV"/>
            <w:vAlign w:val="center"/>
          </w:tcPr>
          <w:p>
            <w:pPr>
              <w:rPr>
                <w:rFonts w:hint="eastAsia" w:ascii="宋体" w:hAnsi="宋体" w:eastAsia="宋体" w:cs="宋体"/>
                <w:i w:val="0"/>
                <w:iCs w:val="0"/>
                <w:color w:val="000000"/>
                <w:sz w:val="22"/>
                <w:szCs w:val="22"/>
                <w:u w:val="none"/>
              </w:rPr>
            </w:pPr>
          </w:p>
        </w:tc>
        <w:tc>
          <w:tcPr>
            <w:tcW w:w="4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内江市委党校</w:t>
            </w:r>
          </w:p>
        </w:tc>
        <w:tc>
          <w:tcPr>
            <w:tcW w:w="28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从改好到管好  以民生换民心——内江市推进老旧小区改造的经验启示</w:t>
            </w:r>
          </w:p>
        </w:tc>
        <w:tc>
          <w:tcPr>
            <w:tcW w:w="8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案例</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彭枥燃、赖红颖、李兴、姜博胧、钱金凤</w:t>
            </w:r>
          </w:p>
        </w:tc>
        <w:tc>
          <w:tcPr>
            <w:tcW w:w="1545"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i w:val="0"/>
                <w:iCs w:val="0"/>
                <w:color w:val="000000"/>
                <w:sz w:val="21"/>
                <w:szCs w:val="21"/>
                <w:u w:val="none"/>
              </w:rPr>
            </w:pPr>
          </w:p>
        </w:tc>
        <w:tc>
          <w:tcPr>
            <w:tcW w:w="9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好案例</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39" w:hRule="atLeast"/>
        </w:trPr>
        <w:tc>
          <w:tcPr>
            <w:tcW w:w="475" w:type="dxa"/>
            <w:vMerge w:val="continue"/>
            <w:tcBorders>
              <w:left w:val="single" w:color="000000" w:sz="4" w:space="0"/>
              <w:right w:val="single" w:color="000000" w:sz="4" w:space="0"/>
            </w:tcBorders>
            <w:shd w:val="clear" w:color="auto" w:fill="auto"/>
            <w:noWrap/>
            <w:textDirection w:val="tbRlV"/>
            <w:vAlign w:val="center"/>
          </w:tcPr>
          <w:p>
            <w:pPr>
              <w:rPr>
                <w:rFonts w:hint="eastAsia" w:ascii="宋体" w:hAnsi="宋体" w:eastAsia="宋体" w:cs="宋体"/>
                <w:i w:val="0"/>
                <w:iCs w:val="0"/>
                <w:color w:val="000000"/>
                <w:sz w:val="22"/>
                <w:szCs w:val="22"/>
                <w:u w:val="none"/>
              </w:rPr>
            </w:pPr>
          </w:p>
        </w:tc>
        <w:tc>
          <w:tcPr>
            <w:tcW w:w="4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6</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广元市委党校</w:t>
            </w:r>
          </w:p>
        </w:tc>
        <w:tc>
          <w:tcPr>
            <w:tcW w:w="28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干部教育培训经典案例——《绿色广元》</w:t>
            </w:r>
          </w:p>
        </w:tc>
        <w:tc>
          <w:tcPr>
            <w:tcW w:w="8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案例</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集体成果</w:t>
            </w:r>
          </w:p>
        </w:tc>
        <w:tc>
          <w:tcPr>
            <w:tcW w:w="15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中共中央党校出版社</w:t>
            </w:r>
          </w:p>
        </w:tc>
        <w:tc>
          <w:tcPr>
            <w:tcW w:w="9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好案例</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14" w:hRule="atLeast"/>
        </w:trPr>
        <w:tc>
          <w:tcPr>
            <w:tcW w:w="475" w:type="dxa"/>
            <w:vMerge w:val="continue"/>
            <w:tcBorders>
              <w:left w:val="single" w:color="000000" w:sz="4" w:space="0"/>
              <w:right w:val="single" w:color="000000" w:sz="4" w:space="0"/>
            </w:tcBorders>
            <w:shd w:val="clear" w:color="auto" w:fill="auto"/>
            <w:noWrap/>
            <w:textDirection w:val="tbRlV"/>
            <w:vAlign w:val="center"/>
          </w:tcPr>
          <w:p>
            <w:pPr>
              <w:rPr>
                <w:rFonts w:hint="eastAsia" w:ascii="宋体" w:hAnsi="宋体" w:eastAsia="宋体" w:cs="宋体"/>
                <w:i w:val="0"/>
                <w:iCs w:val="0"/>
                <w:color w:val="000000"/>
                <w:sz w:val="22"/>
                <w:szCs w:val="22"/>
                <w:u w:val="none"/>
              </w:rPr>
            </w:pPr>
          </w:p>
        </w:tc>
        <w:tc>
          <w:tcPr>
            <w:tcW w:w="4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7</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乐山市委党校</w:t>
            </w:r>
          </w:p>
        </w:tc>
        <w:tc>
          <w:tcPr>
            <w:tcW w:w="28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法治助推民族地区文明乡风建设的马边样本探析</w:t>
            </w:r>
          </w:p>
        </w:tc>
        <w:tc>
          <w:tcPr>
            <w:tcW w:w="8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案例</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邱家胜</w:t>
            </w:r>
          </w:p>
        </w:tc>
        <w:tc>
          <w:tcPr>
            <w:tcW w:w="15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《中共乐山市委党校学报》</w:t>
            </w:r>
          </w:p>
        </w:tc>
        <w:tc>
          <w:tcPr>
            <w:tcW w:w="9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好案例</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14" w:hRule="atLeast"/>
        </w:trPr>
        <w:tc>
          <w:tcPr>
            <w:tcW w:w="475" w:type="dxa"/>
            <w:vMerge w:val="continue"/>
            <w:tcBorders>
              <w:left w:val="single" w:color="000000" w:sz="4" w:space="0"/>
              <w:bottom w:val="single" w:color="auto" w:sz="4" w:space="0"/>
              <w:right w:val="single" w:color="000000" w:sz="4" w:space="0"/>
            </w:tcBorders>
            <w:shd w:val="clear" w:color="auto" w:fill="auto"/>
            <w:noWrap/>
            <w:textDirection w:val="tbRlV"/>
            <w:vAlign w:val="center"/>
          </w:tcPr>
          <w:p>
            <w:pPr>
              <w:rPr>
                <w:rFonts w:hint="eastAsia" w:ascii="宋体" w:hAnsi="宋体" w:eastAsia="宋体" w:cs="宋体"/>
                <w:i w:val="0"/>
                <w:iCs w:val="0"/>
                <w:color w:val="000000"/>
                <w:sz w:val="22"/>
                <w:szCs w:val="22"/>
                <w:u w:val="none"/>
              </w:rPr>
            </w:pPr>
          </w:p>
        </w:tc>
        <w:tc>
          <w:tcPr>
            <w:tcW w:w="480" w:type="dxa"/>
            <w:tcBorders>
              <w:top w:val="single" w:color="000000" w:sz="4" w:space="0"/>
              <w:left w:val="single" w:color="000000" w:sz="4" w:space="0"/>
              <w:bottom w:val="single" w:color="auto"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8</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雅安市宝兴县委党校</w:t>
            </w:r>
          </w:p>
        </w:tc>
        <w:tc>
          <w:tcPr>
            <w:tcW w:w="28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提升宝兴县革命文物保护利用的路径研究</w:t>
            </w:r>
          </w:p>
        </w:tc>
        <w:tc>
          <w:tcPr>
            <w:tcW w:w="8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案例</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冯小鹏、李昌伟、宋甘文、杨雪、竹燕</w:t>
            </w:r>
          </w:p>
        </w:tc>
        <w:tc>
          <w:tcPr>
            <w:tcW w:w="15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《四川党校报》</w:t>
            </w:r>
          </w:p>
        </w:tc>
        <w:tc>
          <w:tcPr>
            <w:tcW w:w="9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好案例</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39" w:hRule="atLeast"/>
        </w:trPr>
        <w:tc>
          <w:tcPr>
            <w:tcW w:w="475" w:type="dxa"/>
            <w:vMerge w:val="restart"/>
            <w:tcBorders>
              <w:top w:val="single" w:color="auto" w:sz="4" w:space="0"/>
              <w:left w:val="single" w:color="000000" w:sz="4" w:space="0"/>
              <w:right w:val="single" w:color="000000" w:sz="4" w:space="0"/>
            </w:tcBorders>
            <w:shd w:val="clear" w:color="auto" w:fill="auto"/>
            <w:noWrap/>
            <w:textDirection w:val="tbRlV"/>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教材</w:t>
            </w:r>
          </w:p>
        </w:tc>
        <w:tc>
          <w:tcPr>
            <w:tcW w:w="480" w:type="dxa"/>
            <w:tcBorders>
              <w:top w:val="single" w:color="auto"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绵阳市委党校</w:t>
            </w:r>
          </w:p>
        </w:tc>
        <w:tc>
          <w:tcPr>
            <w:tcW w:w="28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凝心铸魂——绵阳市党校系统优秀专题讲稿选编</w:t>
            </w:r>
          </w:p>
        </w:tc>
        <w:tc>
          <w:tcPr>
            <w:tcW w:w="8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教材</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蒋之亮、涂海霞、林劲松、罗天彪</w:t>
            </w:r>
          </w:p>
        </w:tc>
        <w:tc>
          <w:tcPr>
            <w:tcW w:w="15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中共中央党校出版社</w:t>
            </w:r>
          </w:p>
        </w:tc>
        <w:tc>
          <w:tcPr>
            <w:tcW w:w="9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好教材</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39" w:hRule="atLeast"/>
        </w:trPr>
        <w:tc>
          <w:tcPr>
            <w:tcW w:w="475" w:type="dxa"/>
            <w:vMerge w:val="continue"/>
            <w:tcBorders>
              <w:left w:val="single" w:color="000000" w:sz="4" w:space="0"/>
              <w:bottom w:val="single" w:color="auto" w:sz="4" w:space="0"/>
              <w:right w:val="single" w:color="000000" w:sz="4" w:space="0"/>
            </w:tcBorders>
            <w:shd w:val="clear" w:color="auto" w:fill="auto"/>
            <w:noWrap/>
            <w:textDirection w:val="tbRlV"/>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c>
          <w:tcPr>
            <w:tcW w:w="480" w:type="dxa"/>
            <w:tcBorders>
              <w:top w:val="single" w:color="000000" w:sz="4" w:space="0"/>
              <w:left w:val="single" w:color="000000" w:sz="4" w:space="0"/>
              <w:bottom w:val="single" w:color="auto"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广安市委党校</w:t>
            </w:r>
          </w:p>
        </w:tc>
        <w:tc>
          <w:tcPr>
            <w:tcW w:w="28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广安高质量发展研究与实践——同城融圈篇</w:t>
            </w:r>
          </w:p>
        </w:tc>
        <w:tc>
          <w:tcPr>
            <w:tcW w:w="8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教材</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赵泽波、阳金平、袁廷刚、张程程</w:t>
            </w:r>
          </w:p>
        </w:tc>
        <w:tc>
          <w:tcPr>
            <w:tcW w:w="15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四川省科技出版社</w:t>
            </w:r>
          </w:p>
        </w:tc>
        <w:tc>
          <w:tcPr>
            <w:tcW w:w="9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好教材</w:t>
            </w:r>
          </w:p>
        </w:tc>
      </w:tr>
    </w:tbl>
    <w:p>
      <w:pPr>
        <w:rPr>
          <w:rFonts w:hint="eastAsia"/>
          <w:lang w:eastAsia="zh-CN"/>
        </w:rPr>
      </w:pPr>
    </w:p>
    <w:p>
      <w:pPr>
        <w:rPr>
          <w:rFonts w:hint="eastAsia"/>
          <w:lang w:eastAsia="zh-CN"/>
        </w:rPr>
      </w:pPr>
    </w:p>
    <w:p>
      <w:pPr>
        <w:rPr>
          <w:rFonts w:hint="eastAsia"/>
          <w:lang w:eastAsia="zh-CN"/>
        </w:rPr>
      </w:pPr>
    </w:p>
    <w:p>
      <w:pPr>
        <w:rPr>
          <w:rFonts w:hint="eastAsia"/>
          <w:lang w:val="en-US" w:eastAsia="zh-CN"/>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方正书宋_GBK"/>
    <w:panose1 w:val="00000000000000000000"/>
    <w:charset w:val="00"/>
    <w:family w:val="auto"/>
    <w:pitch w:val="default"/>
    <w:sig w:usb0="00000000" w:usb1="00000000" w:usb2="00000000" w:usb3="00000000" w:csb0="00000000" w:csb1="00000000"/>
  </w:font>
  <w:font w:name="Wingdings">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2000609000000000000"/>
    <w:charset w:val="02"/>
    <w:family w:val="roman"/>
    <w:pitch w:val="default"/>
    <w:sig w:usb0="800000AF" w:usb1="4000204A" w:usb2="00000000" w:usb3="00000000" w:csb0="20000000" w:csb1="00000000"/>
  </w:font>
  <w:font w:name="DejaVu Sans">
    <w:panose1 w:val="020B0603030804020204"/>
    <w:charset w:val="00"/>
    <w:family w:val="auto"/>
    <w:pitch w:val="default"/>
    <w:sig w:usb0="E7006EFF" w:usb1="D200FDFF" w:usb2="0A246029" w:usb3="0400200C" w:csb0="600001FF" w:csb1="DFFF0000"/>
  </w:font>
  <w:font w:name="Calibri">
    <w:altName w:val="DejaVu Sans"/>
    <w:panose1 w:val="020F0502020204030204"/>
    <w:charset w:val="00"/>
    <w:family w:val="swiss"/>
    <w:pitch w:val="default"/>
    <w:sig w:usb0="00000000" w:usb1="00000000" w:usb2="00000001" w:usb3="00000000" w:csb0="0000019F" w:csb1="00000000"/>
  </w:font>
  <w:font w:name="方正书宋_GBK">
    <w:panose1 w:val="02000000000000000000"/>
    <w:charset w:val="86"/>
    <w:family w:val="auto"/>
    <w:pitch w:val="default"/>
    <w:sig w:usb0="00000001" w:usb1="08000000" w:usb2="00000000" w:usb3="00000000" w:csb0="00040000" w:csb1="00000000"/>
  </w:font>
  <w:font w:name="仿宋_GB2312">
    <w:altName w:val="方正仿宋_GBK"/>
    <w:panose1 w:val="00000000000000000000"/>
    <w:charset w:val="00"/>
    <w:family w:val="auto"/>
    <w:pitch w:val="default"/>
    <w:sig w:usb0="00000000" w:usb1="00000000" w:usb2="00000000" w:usb3="00000000" w:csb0="00000000" w:csb1="00000000"/>
  </w:font>
  <w:font w:name="方正仿宋_GBK">
    <w:panose1 w:val="02000000000000000000"/>
    <w:charset w:val="86"/>
    <w:family w:val="auto"/>
    <w:pitch w:val="default"/>
    <w:sig w:usb0="00000001" w:usb1="08000000" w:usb2="00000000" w:usb3="00000000" w:csb0="00040000" w:csb1="00000000"/>
  </w:font>
  <w:font w:name="方正黑体_GBK">
    <w:panose1 w:val="02000000000000000000"/>
    <w:charset w:val="86"/>
    <w:family w:val="auto"/>
    <w:pitch w:val="default"/>
    <w:sig w:usb0="00000001" w:usb1="08000000" w:usb2="00000000" w:usb3="00000000" w:csb0="00040000" w:csb1="00000000"/>
  </w:font>
  <w:font w:name="方正小标宋_GBK">
    <w:panose1 w:val="02000000000000000000"/>
    <w:charset w:val="86"/>
    <w:family w:val="auto"/>
    <w:pitch w:val="default"/>
    <w:sig w:usb0="00000001" w:usb1="08000000" w:usb2="00000000" w:usb3="00000000" w:csb0="00040000" w:csb1="00000000"/>
  </w:font>
  <w:font w:name="楷体">
    <w:altName w:val="方正楷体_GBK"/>
    <w:panose1 w:val="02010609060101010101"/>
    <w:charset w:val="00"/>
    <w:family w:val="auto"/>
    <w:pitch w:val="default"/>
    <w:sig w:usb0="00000000" w:usb1="00000000" w:usb2="00000016" w:usb3="00000000" w:csb0="00040001" w:csb1="00000000"/>
  </w:font>
  <w:font w:name="方正楷体_GBK">
    <w:panose1 w:val="02000000000000000000"/>
    <w:charset w:val="86"/>
    <w:family w:val="auto"/>
    <w:pitch w:val="default"/>
    <w:sig w:usb0="00000001" w:usb1="08000000" w:usb2="00000000" w:usb3="00000000" w:csb0="00040000" w:csb1="00000000"/>
  </w:font>
  <w:font w:name="仿宋">
    <w:altName w:val="方正仿宋_GBK"/>
    <w:panose1 w:val="02010609060101010101"/>
    <w:charset w:val="00"/>
    <w:family w:val="auto"/>
    <w:pitch w:val="default"/>
    <w:sig w:usb0="00000000" w:usb1="00000000" w:usb2="00000016" w:usb3="00000000" w:csb0="00040001" w:csb1="00000000"/>
  </w:font>
  <w:font w:name="微软雅黑">
    <w:altName w:val="方正黑体_GBK"/>
    <w:panose1 w:val="020B0503020204020204"/>
    <w:charset w:val="86"/>
    <w:family w:val="swiss"/>
    <w:pitch w:val="default"/>
    <w:sig w:usb0="00000000" w:usb1="00000000" w:usb2="00000016" w:usb3="00000000" w:csb0="0004001F" w:csb1="00000000"/>
  </w:font>
  <w:font w:name="仿宋">
    <w:altName w:val="方正仿宋_GBK"/>
    <w:panose1 w:val="02010609060101010101"/>
    <w:charset w:val="86"/>
    <w:family w:val="auto"/>
    <w:pitch w:val="default"/>
    <w:sig w:usb0="00000000" w:usb1="00000000" w:usb2="00000016" w:usb3="00000000" w:csb0="00040001" w:csb1="00000000"/>
  </w:font>
  <w:font w:name="方正仿宋_GB2312">
    <w:panose1 w:val="02000000000000000000"/>
    <w:charset w:val="86"/>
    <w:family w:val="auto"/>
    <w:pitch w:val="default"/>
    <w:sig w:usb0="A00002BF" w:usb1="184F6CFA" w:usb2="00000012" w:usb3="00000000" w:csb0="00040001" w:csb1="00000000"/>
  </w:font>
  <w:font w:name="国标黑体">
    <w:panose1 w:val="02000500000000000000"/>
    <w:charset w:val="86"/>
    <w:family w:val="auto"/>
    <w:pitch w:val="default"/>
    <w:sig w:usb0="00000001" w:usb1="08000000" w:usb2="00000000" w:usb3="00000000" w:csb0="00040000" w:csb1="00000000"/>
  </w:font>
  <w:font w:name="黑体">
    <w:altName w:val="方正黑体_GBK"/>
    <w:panose1 w:val="00000000000000000000"/>
    <w:charset w:val="00"/>
    <w:family w:val="auto"/>
    <w:pitch w:val="default"/>
    <w:sig w:usb0="00000000" w:usb1="00000000" w:usb2="00000000" w:usb3="00000000" w:csb0="0000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604AA"/>
    <w:rsid w:val="00001501"/>
    <w:rsid w:val="000058F5"/>
    <w:rsid w:val="0001017F"/>
    <w:rsid w:val="00036CAE"/>
    <w:rsid w:val="000427C1"/>
    <w:rsid w:val="00075A06"/>
    <w:rsid w:val="00086CE1"/>
    <w:rsid w:val="00090E7B"/>
    <w:rsid w:val="000A1BB1"/>
    <w:rsid w:val="000B3DEA"/>
    <w:rsid w:val="000C186F"/>
    <w:rsid w:val="000E16C2"/>
    <w:rsid w:val="00105D84"/>
    <w:rsid w:val="001076AD"/>
    <w:rsid w:val="001139BE"/>
    <w:rsid w:val="00114A21"/>
    <w:rsid w:val="001219F9"/>
    <w:rsid w:val="00123391"/>
    <w:rsid w:val="00131A6F"/>
    <w:rsid w:val="001325AB"/>
    <w:rsid w:val="00151100"/>
    <w:rsid w:val="0015664B"/>
    <w:rsid w:val="00161969"/>
    <w:rsid w:val="00163ECF"/>
    <w:rsid w:val="00166627"/>
    <w:rsid w:val="00175BEB"/>
    <w:rsid w:val="001800D8"/>
    <w:rsid w:val="001825B2"/>
    <w:rsid w:val="001A67CF"/>
    <w:rsid w:val="001B67E0"/>
    <w:rsid w:val="001C0D5E"/>
    <w:rsid w:val="001C17D9"/>
    <w:rsid w:val="001E00BD"/>
    <w:rsid w:val="001E5A47"/>
    <w:rsid w:val="001F36B4"/>
    <w:rsid w:val="00201C8E"/>
    <w:rsid w:val="00207E29"/>
    <w:rsid w:val="00211CEA"/>
    <w:rsid w:val="002141F2"/>
    <w:rsid w:val="002202CD"/>
    <w:rsid w:val="00232221"/>
    <w:rsid w:val="0024384B"/>
    <w:rsid w:val="002512AD"/>
    <w:rsid w:val="002574BE"/>
    <w:rsid w:val="0027137A"/>
    <w:rsid w:val="0028359E"/>
    <w:rsid w:val="00284515"/>
    <w:rsid w:val="00292AC3"/>
    <w:rsid w:val="00297614"/>
    <w:rsid w:val="002A43CE"/>
    <w:rsid w:val="002A5866"/>
    <w:rsid w:val="002A680A"/>
    <w:rsid w:val="002A7E07"/>
    <w:rsid w:val="002C1042"/>
    <w:rsid w:val="002C38B8"/>
    <w:rsid w:val="002D1446"/>
    <w:rsid w:val="002E3BBE"/>
    <w:rsid w:val="002F742C"/>
    <w:rsid w:val="00316186"/>
    <w:rsid w:val="00323679"/>
    <w:rsid w:val="00331DDF"/>
    <w:rsid w:val="003347AC"/>
    <w:rsid w:val="00341CE2"/>
    <w:rsid w:val="00355176"/>
    <w:rsid w:val="00357376"/>
    <w:rsid w:val="003604AA"/>
    <w:rsid w:val="00360E33"/>
    <w:rsid w:val="003647DF"/>
    <w:rsid w:val="00365062"/>
    <w:rsid w:val="003651A7"/>
    <w:rsid w:val="0036724C"/>
    <w:rsid w:val="003751F2"/>
    <w:rsid w:val="003751FF"/>
    <w:rsid w:val="00395442"/>
    <w:rsid w:val="003A3890"/>
    <w:rsid w:val="003A4B4F"/>
    <w:rsid w:val="003B692B"/>
    <w:rsid w:val="003C012B"/>
    <w:rsid w:val="003C2218"/>
    <w:rsid w:val="003C6C44"/>
    <w:rsid w:val="003D1E2A"/>
    <w:rsid w:val="003D6572"/>
    <w:rsid w:val="003F66B5"/>
    <w:rsid w:val="0040115D"/>
    <w:rsid w:val="00422664"/>
    <w:rsid w:val="00426405"/>
    <w:rsid w:val="00432B40"/>
    <w:rsid w:val="004348B9"/>
    <w:rsid w:val="00437199"/>
    <w:rsid w:val="00454457"/>
    <w:rsid w:val="004548B5"/>
    <w:rsid w:val="00462F5E"/>
    <w:rsid w:val="004701C8"/>
    <w:rsid w:val="00472640"/>
    <w:rsid w:val="004761E8"/>
    <w:rsid w:val="00487271"/>
    <w:rsid w:val="004A1B34"/>
    <w:rsid w:val="004C7BAF"/>
    <w:rsid w:val="004D0069"/>
    <w:rsid w:val="004E2B85"/>
    <w:rsid w:val="004E3974"/>
    <w:rsid w:val="004E47A2"/>
    <w:rsid w:val="004E70A4"/>
    <w:rsid w:val="004F2C7D"/>
    <w:rsid w:val="004F2E1E"/>
    <w:rsid w:val="00500246"/>
    <w:rsid w:val="00532BC6"/>
    <w:rsid w:val="0054434C"/>
    <w:rsid w:val="00556442"/>
    <w:rsid w:val="00557C84"/>
    <w:rsid w:val="00564700"/>
    <w:rsid w:val="00566A45"/>
    <w:rsid w:val="005721C3"/>
    <w:rsid w:val="005841C2"/>
    <w:rsid w:val="005A58DE"/>
    <w:rsid w:val="005A6EBA"/>
    <w:rsid w:val="005C017E"/>
    <w:rsid w:val="005C0337"/>
    <w:rsid w:val="005C100D"/>
    <w:rsid w:val="005D0B08"/>
    <w:rsid w:val="005E16B4"/>
    <w:rsid w:val="005E2981"/>
    <w:rsid w:val="00601D15"/>
    <w:rsid w:val="006045E7"/>
    <w:rsid w:val="0061012D"/>
    <w:rsid w:val="00644D04"/>
    <w:rsid w:val="00647AB8"/>
    <w:rsid w:val="006539D2"/>
    <w:rsid w:val="00656907"/>
    <w:rsid w:val="0066694C"/>
    <w:rsid w:val="00674D49"/>
    <w:rsid w:val="00680037"/>
    <w:rsid w:val="006807ED"/>
    <w:rsid w:val="00685E3E"/>
    <w:rsid w:val="0068656B"/>
    <w:rsid w:val="00691865"/>
    <w:rsid w:val="006A0735"/>
    <w:rsid w:val="006A1A33"/>
    <w:rsid w:val="006B4D04"/>
    <w:rsid w:val="006D7AA6"/>
    <w:rsid w:val="006E0C73"/>
    <w:rsid w:val="006E55E5"/>
    <w:rsid w:val="006E68A3"/>
    <w:rsid w:val="006F1F80"/>
    <w:rsid w:val="0070674D"/>
    <w:rsid w:val="00706DD2"/>
    <w:rsid w:val="00710E0F"/>
    <w:rsid w:val="00712DCF"/>
    <w:rsid w:val="00713F20"/>
    <w:rsid w:val="00735579"/>
    <w:rsid w:val="007410DD"/>
    <w:rsid w:val="00750360"/>
    <w:rsid w:val="00750A60"/>
    <w:rsid w:val="00753325"/>
    <w:rsid w:val="00760EE9"/>
    <w:rsid w:val="007868D3"/>
    <w:rsid w:val="00787017"/>
    <w:rsid w:val="00792E60"/>
    <w:rsid w:val="007A0B19"/>
    <w:rsid w:val="007A2B94"/>
    <w:rsid w:val="007C0CB6"/>
    <w:rsid w:val="007D7932"/>
    <w:rsid w:val="007E0384"/>
    <w:rsid w:val="007E18DD"/>
    <w:rsid w:val="007E342D"/>
    <w:rsid w:val="007F046E"/>
    <w:rsid w:val="007F39A9"/>
    <w:rsid w:val="007F4F94"/>
    <w:rsid w:val="00801FAD"/>
    <w:rsid w:val="00810A86"/>
    <w:rsid w:val="00826859"/>
    <w:rsid w:val="0083336D"/>
    <w:rsid w:val="0084246B"/>
    <w:rsid w:val="00843A83"/>
    <w:rsid w:val="008451A8"/>
    <w:rsid w:val="008518CB"/>
    <w:rsid w:val="00855926"/>
    <w:rsid w:val="00870DDF"/>
    <w:rsid w:val="00871894"/>
    <w:rsid w:val="00875E7B"/>
    <w:rsid w:val="00885636"/>
    <w:rsid w:val="00891F4D"/>
    <w:rsid w:val="008A2373"/>
    <w:rsid w:val="008A4B60"/>
    <w:rsid w:val="008A6A65"/>
    <w:rsid w:val="008B2E6E"/>
    <w:rsid w:val="008B730E"/>
    <w:rsid w:val="008C28B4"/>
    <w:rsid w:val="008C28F4"/>
    <w:rsid w:val="008C5F39"/>
    <w:rsid w:val="008C76B2"/>
    <w:rsid w:val="008D1D41"/>
    <w:rsid w:val="008D70E9"/>
    <w:rsid w:val="008E03E8"/>
    <w:rsid w:val="009246D1"/>
    <w:rsid w:val="00934C02"/>
    <w:rsid w:val="00943775"/>
    <w:rsid w:val="009440A6"/>
    <w:rsid w:val="00974D59"/>
    <w:rsid w:val="0098168D"/>
    <w:rsid w:val="00982402"/>
    <w:rsid w:val="00983814"/>
    <w:rsid w:val="00985E60"/>
    <w:rsid w:val="0099507A"/>
    <w:rsid w:val="009A4775"/>
    <w:rsid w:val="009A5480"/>
    <w:rsid w:val="009B25A4"/>
    <w:rsid w:val="009C2A58"/>
    <w:rsid w:val="009C5BA6"/>
    <w:rsid w:val="009D332F"/>
    <w:rsid w:val="009D728C"/>
    <w:rsid w:val="009D752B"/>
    <w:rsid w:val="009E4D64"/>
    <w:rsid w:val="00A04C2A"/>
    <w:rsid w:val="00A17203"/>
    <w:rsid w:val="00A23270"/>
    <w:rsid w:val="00A24D16"/>
    <w:rsid w:val="00A2586B"/>
    <w:rsid w:val="00A608B6"/>
    <w:rsid w:val="00A6090A"/>
    <w:rsid w:val="00A63979"/>
    <w:rsid w:val="00A731A8"/>
    <w:rsid w:val="00A76B68"/>
    <w:rsid w:val="00A77CAE"/>
    <w:rsid w:val="00A77EE3"/>
    <w:rsid w:val="00A878BB"/>
    <w:rsid w:val="00A90531"/>
    <w:rsid w:val="00A9153D"/>
    <w:rsid w:val="00A97F7E"/>
    <w:rsid w:val="00AA3799"/>
    <w:rsid w:val="00AC7E39"/>
    <w:rsid w:val="00AD436E"/>
    <w:rsid w:val="00AE0DF6"/>
    <w:rsid w:val="00AE7BB3"/>
    <w:rsid w:val="00AF3088"/>
    <w:rsid w:val="00B1268C"/>
    <w:rsid w:val="00B154F7"/>
    <w:rsid w:val="00B24EED"/>
    <w:rsid w:val="00B27DB4"/>
    <w:rsid w:val="00B33598"/>
    <w:rsid w:val="00B4092B"/>
    <w:rsid w:val="00B54F6C"/>
    <w:rsid w:val="00B67F8D"/>
    <w:rsid w:val="00B722E3"/>
    <w:rsid w:val="00B7465E"/>
    <w:rsid w:val="00B82317"/>
    <w:rsid w:val="00B824DF"/>
    <w:rsid w:val="00B833BE"/>
    <w:rsid w:val="00B90866"/>
    <w:rsid w:val="00B932B1"/>
    <w:rsid w:val="00B964DC"/>
    <w:rsid w:val="00B9695D"/>
    <w:rsid w:val="00B96E41"/>
    <w:rsid w:val="00BB1169"/>
    <w:rsid w:val="00BB767E"/>
    <w:rsid w:val="00BC071D"/>
    <w:rsid w:val="00BC2010"/>
    <w:rsid w:val="00BD1C29"/>
    <w:rsid w:val="00BD25C5"/>
    <w:rsid w:val="00BE264E"/>
    <w:rsid w:val="00BE72D0"/>
    <w:rsid w:val="00C0116E"/>
    <w:rsid w:val="00C13592"/>
    <w:rsid w:val="00C23AD2"/>
    <w:rsid w:val="00C33AB5"/>
    <w:rsid w:val="00C35F5C"/>
    <w:rsid w:val="00C37A23"/>
    <w:rsid w:val="00C41B8F"/>
    <w:rsid w:val="00C4385F"/>
    <w:rsid w:val="00C50378"/>
    <w:rsid w:val="00C566EE"/>
    <w:rsid w:val="00C66F7D"/>
    <w:rsid w:val="00C74352"/>
    <w:rsid w:val="00C74F12"/>
    <w:rsid w:val="00C85D4C"/>
    <w:rsid w:val="00C90A01"/>
    <w:rsid w:val="00C9320C"/>
    <w:rsid w:val="00C977DB"/>
    <w:rsid w:val="00CA1110"/>
    <w:rsid w:val="00CA4B1E"/>
    <w:rsid w:val="00CA74FE"/>
    <w:rsid w:val="00CB7769"/>
    <w:rsid w:val="00CC16F7"/>
    <w:rsid w:val="00CC34B5"/>
    <w:rsid w:val="00CD6BDD"/>
    <w:rsid w:val="00CE4BE7"/>
    <w:rsid w:val="00CF20AC"/>
    <w:rsid w:val="00CF441D"/>
    <w:rsid w:val="00CF6B33"/>
    <w:rsid w:val="00D02D2A"/>
    <w:rsid w:val="00D04AD8"/>
    <w:rsid w:val="00D252D1"/>
    <w:rsid w:val="00D31A9E"/>
    <w:rsid w:val="00D40780"/>
    <w:rsid w:val="00D436BF"/>
    <w:rsid w:val="00D44E64"/>
    <w:rsid w:val="00D51BE1"/>
    <w:rsid w:val="00D61F0D"/>
    <w:rsid w:val="00D66E33"/>
    <w:rsid w:val="00D72A3B"/>
    <w:rsid w:val="00D82BDA"/>
    <w:rsid w:val="00D851F2"/>
    <w:rsid w:val="00D85B45"/>
    <w:rsid w:val="00D9342F"/>
    <w:rsid w:val="00DB1A36"/>
    <w:rsid w:val="00DB650C"/>
    <w:rsid w:val="00DC3BF1"/>
    <w:rsid w:val="00DD0382"/>
    <w:rsid w:val="00DD36DA"/>
    <w:rsid w:val="00DD57A0"/>
    <w:rsid w:val="00DE4F92"/>
    <w:rsid w:val="00E01833"/>
    <w:rsid w:val="00E032FC"/>
    <w:rsid w:val="00E070AB"/>
    <w:rsid w:val="00E151B0"/>
    <w:rsid w:val="00E26680"/>
    <w:rsid w:val="00E30573"/>
    <w:rsid w:val="00E45ADD"/>
    <w:rsid w:val="00E515E3"/>
    <w:rsid w:val="00E60DDD"/>
    <w:rsid w:val="00E876FC"/>
    <w:rsid w:val="00E9625C"/>
    <w:rsid w:val="00EB2933"/>
    <w:rsid w:val="00EB4CB3"/>
    <w:rsid w:val="00EC4C98"/>
    <w:rsid w:val="00EC4EDB"/>
    <w:rsid w:val="00EC55DD"/>
    <w:rsid w:val="00ED14A4"/>
    <w:rsid w:val="00EE0F80"/>
    <w:rsid w:val="00EE5042"/>
    <w:rsid w:val="00EF13B5"/>
    <w:rsid w:val="00EF670E"/>
    <w:rsid w:val="00EF7E2E"/>
    <w:rsid w:val="00F06131"/>
    <w:rsid w:val="00F106BE"/>
    <w:rsid w:val="00F20181"/>
    <w:rsid w:val="00F25AEF"/>
    <w:rsid w:val="00F37B84"/>
    <w:rsid w:val="00F47177"/>
    <w:rsid w:val="00F526D5"/>
    <w:rsid w:val="00F54E39"/>
    <w:rsid w:val="00F60D58"/>
    <w:rsid w:val="00F710C2"/>
    <w:rsid w:val="00F7499E"/>
    <w:rsid w:val="00FB539D"/>
    <w:rsid w:val="00FB68A0"/>
    <w:rsid w:val="00FB7F62"/>
    <w:rsid w:val="00FC2285"/>
    <w:rsid w:val="00FC64F2"/>
    <w:rsid w:val="00FD1FBA"/>
    <w:rsid w:val="00FD39F3"/>
    <w:rsid w:val="00FD7589"/>
    <w:rsid w:val="00FF5114"/>
    <w:rsid w:val="00FF5501"/>
    <w:rsid w:val="014337F8"/>
    <w:rsid w:val="01875DDB"/>
    <w:rsid w:val="02DE0327"/>
    <w:rsid w:val="064A5629"/>
    <w:rsid w:val="0B51686E"/>
    <w:rsid w:val="0B81389B"/>
    <w:rsid w:val="0EC32F17"/>
    <w:rsid w:val="0F744533"/>
    <w:rsid w:val="143E0DBE"/>
    <w:rsid w:val="1CAA0778"/>
    <w:rsid w:val="20F667B9"/>
    <w:rsid w:val="218726FF"/>
    <w:rsid w:val="284F6DA3"/>
    <w:rsid w:val="2B30453E"/>
    <w:rsid w:val="31E16592"/>
    <w:rsid w:val="36496FA8"/>
    <w:rsid w:val="399332AB"/>
    <w:rsid w:val="3D9D4A11"/>
    <w:rsid w:val="3F3D26BC"/>
    <w:rsid w:val="3FF7D232"/>
    <w:rsid w:val="4525273F"/>
    <w:rsid w:val="47DF3691"/>
    <w:rsid w:val="52D41ACF"/>
    <w:rsid w:val="55DE502E"/>
    <w:rsid w:val="5AAE0E58"/>
    <w:rsid w:val="5B027B34"/>
    <w:rsid w:val="5BDBAC82"/>
    <w:rsid w:val="5DFB65DD"/>
    <w:rsid w:val="5E7D19D2"/>
    <w:rsid w:val="5F6DA3A2"/>
    <w:rsid w:val="60917251"/>
    <w:rsid w:val="60E530F9"/>
    <w:rsid w:val="61717698"/>
    <w:rsid w:val="655A26F0"/>
    <w:rsid w:val="6615622F"/>
    <w:rsid w:val="68771A2B"/>
    <w:rsid w:val="68E54AE2"/>
    <w:rsid w:val="6E9C4359"/>
    <w:rsid w:val="6EC91D52"/>
    <w:rsid w:val="70587444"/>
    <w:rsid w:val="75C537CD"/>
    <w:rsid w:val="75EE7C07"/>
    <w:rsid w:val="76B7A8E8"/>
    <w:rsid w:val="78882435"/>
    <w:rsid w:val="7A7DC90D"/>
    <w:rsid w:val="7B7678E6"/>
    <w:rsid w:val="7CB15604"/>
    <w:rsid w:val="7F17F4A2"/>
    <w:rsid w:val="7F39B878"/>
    <w:rsid w:val="F9FF49E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5">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Balloon Text"/>
    <w:basedOn w:val="1"/>
    <w:link w:val="7"/>
    <w:semiHidden/>
    <w:unhideWhenUsed/>
    <w:qFormat/>
    <w:uiPriority w:val="99"/>
    <w:rPr>
      <w:sz w:val="18"/>
      <w:szCs w:val="18"/>
    </w:rPr>
  </w:style>
  <w:style w:type="paragraph" w:styleId="3">
    <w:name w:val="Normal (Web)"/>
    <w:basedOn w:val="1"/>
    <w:semiHidden/>
    <w:unhideWhenUsed/>
    <w:qFormat/>
    <w:uiPriority w:val="99"/>
    <w:pPr>
      <w:widowControl/>
      <w:spacing w:before="100" w:beforeAutospacing="1" w:after="100" w:afterAutospacing="1"/>
      <w:jc w:val="left"/>
    </w:pPr>
    <w:rPr>
      <w:rFonts w:ascii="宋体" w:hAnsi="宋体" w:eastAsia="宋体" w:cs="宋体"/>
      <w:kern w:val="0"/>
      <w:sz w:val="24"/>
      <w:szCs w:val="24"/>
    </w:rPr>
  </w:style>
  <w:style w:type="character" w:styleId="6">
    <w:name w:val="Hyperlink"/>
    <w:basedOn w:val="5"/>
    <w:semiHidden/>
    <w:unhideWhenUsed/>
    <w:qFormat/>
    <w:uiPriority w:val="99"/>
    <w:rPr>
      <w:color w:val="0000FF"/>
      <w:u w:val="single"/>
    </w:rPr>
  </w:style>
  <w:style w:type="character" w:customStyle="1" w:styleId="7">
    <w:name w:val="批注框文本 Char"/>
    <w:basedOn w:val="5"/>
    <w:link w:val="2"/>
    <w:semiHidden/>
    <w:qFormat/>
    <w:uiPriority w:val="99"/>
    <w:rPr>
      <w:sz w:val="18"/>
      <w:szCs w:val="18"/>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5</Pages>
  <Words>3802</Words>
  <Characters>3925</Characters>
  <Lines>3</Lines>
  <Paragraphs>1</Paragraphs>
  <TotalTime>17</TotalTime>
  <ScaleCrop>false</ScaleCrop>
  <LinksUpToDate>false</LinksUpToDate>
  <CharactersWithSpaces>3998</CharactersWithSpaces>
  <Application>WPS Office_12.8.2.1113_F1E327BC-269C-435d-A152-05C5408002CA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2025-11-06T15:20:00Z</dcterms:created>
  <dc:creator>pc2</dc:creator>
  <cp:lastModifiedBy>枫</cp:lastModifiedBy>
  <dcterms:modified xsi:type="dcterms:W3CDTF">2025-11-10T09:29:12Z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eyJoZGlkIjoiODVlMWNkZjYwMjlmYWQ1NTY1NmE4MmIxMTVlNjk4NjYiLCJ1c2VySWQiOiIyNDA5NDM1ODcifQ==</vt:lpwstr>
  </property>
  <property fmtid="{D5CDD505-2E9C-101B-9397-08002B2CF9AE}" pid="3" name="KSOProductBuildVer">
    <vt:lpwstr>2052-12.8.2.1113</vt:lpwstr>
  </property>
  <property fmtid="{D5CDD505-2E9C-101B-9397-08002B2CF9AE}" pid="4" name="ICV">
    <vt:lpwstr>B68B73E4A01A9823163F1169B35ADAA4_43</vt:lpwstr>
  </property>
</Properties>
</file>